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082C5" w14:textId="77777777" w:rsidR="00DB158D" w:rsidRPr="00DB158D" w:rsidRDefault="00DB158D" w:rsidP="00002A48">
      <w:pPr>
        <w:spacing w:line="480" w:lineRule="auto"/>
        <w:jc w:val="both"/>
        <w:rPr>
          <w:rFonts w:ascii="Times New Roman" w:hAnsi="Times New Roman"/>
          <w:b/>
          <w:bCs/>
          <w:sz w:val="24"/>
          <w:szCs w:val="24"/>
          <w:lang w:val="en-US"/>
        </w:rPr>
      </w:pPr>
      <w:r w:rsidRPr="00DB158D">
        <w:rPr>
          <w:rFonts w:ascii="Times New Roman" w:hAnsi="Times New Roman"/>
          <w:b/>
          <w:bCs/>
          <w:sz w:val="24"/>
          <w:szCs w:val="24"/>
          <w:lang w:val="en-US"/>
        </w:rPr>
        <w:t xml:space="preserve">Low Glomerular Filtration Rate is Not Associated </w:t>
      </w:r>
      <w:proofErr w:type="gramStart"/>
      <w:r w:rsidRPr="00DB158D">
        <w:rPr>
          <w:rFonts w:ascii="Times New Roman" w:hAnsi="Times New Roman"/>
          <w:b/>
          <w:bCs/>
          <w:sz w:val="24"/>
          <w:szCs w:val="24"/>
          <w:lang w:val="en-US"/>
        </w:rPr>
        <w:t>With</w:t>
      </w:r>
      <w:proofErr w:type="gramEnd"/>
      <w:r w:rsidRPr="00DB158D">
        <w:rPr>
          <w:rFonts w:ascii="Times New Roman" w:hAnsi="Times New Roman"/>
          <w:b/>
          <w:bCs/>
          <w:sz w:val="24"/>
          <w:szCs w:val="24"/>
          <w:lang w:val="en-US"/>
        </w:rPr>
        <w:t xml:space="preserve"> Comorbidities and Reasons For Hospitalization İn Geriatric Patients Over 75 Years Of Age</w:t>
      </w:r>
    </w:p>
    <w:p w14:paraId="00B5407C" w14:textId="232EE18F" w:rsidR="00641C1F" w:rsidRPr="00DB61AE" w:rsidRDefault="00641C1F" w:rsidP="00002A48">
      <w:pPr>
        <w:spacing w:after="0" w:line="480" w:lineRule="auto"/>
        <w:jc w:val="both"/>
        <w:rPr>
          <w:rFonts w:ascii="Times New Roman" w:eastAsia="Cambria" w:hAnsi="Times New Roman"/>
          <w:sz w:val="24"/>
          <w:szCs w:val="24"/>
          <w:vertAlign w:val="superscript"/>
          <w:lang w:val="en-GB" w:eastAsia="en-GB" w:bidi="en-GB"/>
        </w:rPr>
      </w:pPr>
      <w:r w:rsidRPr="00DB61AE">
        <w:rPr>
          <w:rFonts w:ascii="Times New Roman" w:eastAsia="Cambria" w:hAnsi="Times New Roman"/>
          <w:sz w:val="24"/>
          <w:szCs w:val="24"/>
          <w:lang w:val="en-GB" w:eastAsia="en-GB" w:bidi="en-GB"/>
        </w:rPr>
        <w:t>Hatice Hamarat</w:t>
      </w:r>
      <w:r w:rsidR="00DB61AE" w:rsidRPr="00DB61AE">
        <w:rPr>
          <w:rFonts w:ascii="Times New Roman" w:eastAsia="Cambria" w:hAnsi="Times New Roman"/>
          <w:sz w:val="24"/>
          <w:szCs w:val="24"/>
          <w:vertAlign w:val="superscript"/>
          <w:lang w:val="en-GB" w:eastAsia="en-GB" w:bidi="en-GB"/>
        </w:rPr>
        <w:tab/>
      </w:r>
    </w:p>
    <w:p w14:paraId="4477847A" w14:textId="0FCC91A3" w:rsidR="00641C1F" w:rsidRPr="00DB61AE" w:rsidRDefault="006734CB" w:rsidP="00002A48">
      <w:pPr>
        <w:spacing w:after="0" w:line="480" w:lineRule="auto"/>
        <w:jc w:val="both"/>
        <w:rPr>
          <w:rFonts w:ascii="Times New Roman" w:eastAsia="Cambria" w:hAnsi="Times New Roman"/>
          <w:sz w:val="24"/>
          <w:szCs w:val="24"/>
          <w:lang w:val="en-GB" w:eastAsia="en-GB" w:bidi="en-GB"/>
        </w:rPr>
      </w:pPr>
      <w:r w:rsidRPr="00DB61AE">
        <w:rPr>
          <w:rFonts w:ascii="Times New Roman" w:eastAsia="Cambria" w:hAnsi="Times New Roman"/>
          <w:sz w:val="24"/>
          <w:szCs w:val="24"/>
          <w:lang w:val="en-GB" w:eastAsia="en-GB" w:bidi="en-GB"/>
        </w:rPr>
        <w:t xml:space="preserve">Departmen of Internal </w:t>
      </w:r>
      <w:proofErr w:type="gramStart"/>
      <w:r w:rsidRPr="00DB61AE">
        <w:rPr>
          <w:rFonts w:ascii="Times New Roman" w:eastAsia="Cambria" w:hAnsi="Times New Roman"/>
          <w:sz w:val="24"/>
          <w:szCs w:val="24"/>
          <w:lang w:val="en-GB" w:eastAsia="en-GB" w:bidi="en-GB"/>
        </w:rPr>
        <w:t xml:space="preserve">Medicine </w:t>
      </w:r>
      <w:r w:rsidR="00383DF9">
        <w:rPr>
          <w:rFonts w:ascii="Times New Roman" w:eastAsia="Cambria" w:hAnsi="Times New Roman"/>
          <w:sz w:val="24"/>
          <w:szCs w:val="24"/>
          <w:lang w:val="en-GB" w:eastAsia="en-GB" w:bidi="en-GB"/>
        </w:rPr>
        <w:t>,</w:t>
      </w:r>
      <w:proofErr w:type="gramEnd"/>
      <w:r w:rsidR="00383DF9">
        <w:rPr>
          <w:rFonts w:ascii="Times New Roman" w:eastAsia="Cambria" w:hAnsi="Times New Roman"/>
          <w:sz w:val="24"/>
          <w:szCs w:val="24"/>
          <w:lang w:val="en-GB" w:eastAsia="en-GB" w:bidi="en-GB"/>
        </w:rPr>
        <w:t xml:space="preserve"> </w:t>
      </w:r>
      <w:r w:rsidR="00AF1B9A">
        <w:rPr>
          <w:rFonts w:ascii="Times New Roman" w:eastAsia="Cambria" w:hAnsi="Times New Roman"/>
          <w:sz w:val="24"/>
          <w:szCs w:val="24"/>
          <w:lang w:val="en-GB" w:eastAsia="en-GB" w:bidi="en-GB"/>
        </w:rPr>
        <w:t>26080,Turkey</w:t>
      </w:r>
    </w:p>
    <w:p w14:paraId="589828D2" w14:textId="77777777" w:rsidR="00492089" w:rsidRPr="00DB61AE" w:rsidRDefault="00492089" w:rsidP="00002A48">
      <w:pPr>
        <w:spacing w:after="0" w:line="480" w:lineRule="auto"/>
        <w:jc w:val="both"/>
        <w:rPr>
          <w:rFonts w:ascii="Times New Roman" w:eastAsia="Cambria" w:hAnsi="Times New Roman"/>
          <w:sz w:val="24"/>
          <w:szCs w:val="24"/>
          <w:lang w:val="en-GB" w:eastAsia="en-GB" w:bidi="en-GB"/>
        </w:rPr>
      </w:pPr>
    </w:p>
    <w:p w14:paraId="6062F447" w14:textId="44263D47" w:rsidR="00492089" w:rsidRDefault="00492089" w:rsidP="00002A48">
      <w:pPr>
        <w:spacing w:after="0" w:line="480" w:lineRule="auto"/>
        <w:jc w:val="both"/>
        <w:rPr>
          <w:rFonts w:ascii="Times New Roman" w:eastAsia="Cambria" w:hAnsi="Times New Roman"/>
          <w:sz w:val="24"/>
          <w:szCs w:val="24"/>
          <w:lang w:eastAsia="en-GB" w:bidi="en-GB"/>
        </w:rPr>
      </w:pPr>
      <w:r w:rsidRPr="00DB61AE">
        <w:rPr>
          <w:rFonts w:ascii="Times New Roman" w:eastAsia="Cambria" w:hAnsi="Times New Roman"/>
          <w:sz w:val="24"/>
          <w:szCs w:val="24"/>
          <w:lang w:eastAsia="en-GB" w:bidi="en-GB"/>
        </w:rPr>
        <w:t> contribution of all authors to the work: There is only one author contributing to the article. All contributions to the article belong to a single author.</w:t>
      </w:r>
    </w:p>
    <w:p w14:paraId="7D301770" w14:textId="77777777" w:rsidR="00DB158D" w:rsidRPr="00DB61AE" w:rsidRDefault="00DB158D" w:rsidP="00002A48">
      <w:pPr>
        <w:spacing w:after="0" w:line="480" w:lineRule="auto"/>
        <w:jc w:val="both"/>
        <w:rPr>
          <w:rFonts w:ascii="Times New Roman" w:eastAsia="Cambria" w:hAnsi="Times New Roman"/>
          <w:sz w:val="24"/>
          <w:szCs w:val="24"/>
          <w:lang w:eastAsia="en-GB" w:bidi="en-GB"/>
        </w:rPr>
      </w:pPr>
    </w:p>
    <w:p w14:paraId="39002610" w14:textId="77777777" w:rsidR="00DB158D" w:rsidRPr="00332BE6" w:rsidRDefault="00DB158D" w:rsidP="00002A48">
      <w:pPr>
        <w:spacing w:after="0" w:line="480" w:lineRule="auto"/>
        <w:jc w:val="both"/>
        <w:rPr>
          <w:rFonts w:ascii="Times New Roman" w:eastAsia="Cambria" w:hAnsi="Times New Roman"/>
          <w:sz w:val="24"/>
          <w:szCs w:val="24"/>
          <w:lang w:val="en-GB" w:eastAsia="en-GB" w:bidi="en-GB"/>
        </w:rPr>
      </w:pPr>
    </w:p>
    <w:p w14:paraId="339A2BAD" w14:textId="6E30310A" w:rsidR="00492089" w:rsidRPr="00DB61AE" w:rsidRDefault="00492089" w:rsidP="00002A48">
      <w:pPr>
        <w:spacing w:after="0" w:line="480" w:lineRule="auto"/>
        <w:jc w:val="both"/>
        <w:rPr>
          <w:rFonts w:ascii="Times New Roman" w:hAnsi="Times New Roman"/>
          <w:sz w:val="24"/>
          <w:szCs w:val="24"/>
          <w:lang w:val="en-US"/>
        </w:rPr>
      </w:pPr>
      <w:r w:rsidRPr="00DB61AE">
        <w:rPr>
          <w:rFonts w:ascii="Times New Roman" w:hAnsi="Times New Roman"/>
          <w:b/>
          <w:sz w:val="24"/>
          <w:szCs w:val="24"/>
          <w:lang w:val="en-US"/>
        </w:rPr>
        <w:t>Corresponding author name</w:t>
      </w:r>
      <w:r w:rsidRPr="00DB61AE">
        <w:rPr>
          <w:rFonts w:ascii="Times New Roman" w:hAnsi="Times New Roman"/>
          <w:sz w:val="24"/>
          <w:szCs w:val="24"/>
          <w:lang w:val="en-US"/>
        </w:rPr>
        <w:t>:</w:t>
      </w:r>
    </w:p>
    <w:p w14:paraId="3C8A696F" w14:textId="7E25A56F" w:rsidR="00492089" w:rsidRPr="00DB61AE" w:rsidRDefault="00DB158D" w:rsidP="00002A48">
      <w:pPr>
        <w:spacing w:after="0" w:line="480" w:lineRule="auto"/>
        <w:jc w:val="both"/>
        <w:rPr>
          <w:rFonts w:ascii="Times New Roman" w:hAnsi="Times New Roman"/>
          <w:sz w:val="24"/>
          <w:szCs w:val="24"/>
          <w:lang w:val="en-US"/>
        </w:rPr>
      </w:pPr>
      <w:r>
        <w:rPr>
          <w:rFonts w:ascii="Times New Roman" w:hAnsi="Times New Roman"/>
          <w:sz w:val="24"/>
          <w:szCs w:val="24"/>
          <w:lang w:val="en-US"/>
        </w:rPr>
        <w:t>MD</w:t>
      </w:r>
      <w:r w:rsidR="00383DF9">
        <w:rPr>
          <w:rFonts w:ascii="Times New Roman" w:hAnsi="Times New Roman"/>
          <w:sz w:val="24"/>
          <w:szCs w:val="24"/>
          <w:lang w:val="en-US"/>
        </w:rPr>
        <w:t xml:space="preserve"> </w:t>
      </w:r>
      <w:r w:rsidR="00383DF9" w:rsidRPr="00DB61AE">
        <w:rPr>
          <w:rFonts w:ascii="Times New Roman" w:hAnsi="Times New Roman"/>
          <w:sz w:val="24"/>
          <w:szCs w:val="24"/>
          <w:lang w:val="en-US"/>
        </w:rPr>
        <w:t>Hatice HAMARAT</w:t>
      </w:r>
      <w:r>
        <w:rPr>
          <w:rFonts w:ascii="Times New Roman" w:hAnsi="Times New Roman"/>
          <w:sz w:val="24"/>
          <w:szCs w:val="24"/>
          <w:lang w:val="en-US"/>
        </w:rPr>
        <w:t>,</w:t>
      </w:r>
      <w:r w:rsidR="00383DF9">
        <w:rPr>
          <w:rFonts w:ascii="Times New Roman" w:hAnsi="Times New Roman"/>
          <w:sz w:val="24"/>
          <w:szCs w:val="24"/>
          <w:lang w:val="en-US"/>
        </w:rPr>
        <w:t xml:space="preserve"> </w:t>
      </w:r>
      <w:r w:rsidR="00383DF9" w:rsidRPr="00DB61AE">
        <w:rPr>
          <w:rFonts w:ascii="Times New Roman" w:hAnsi="Times New Roman"/>
          <w:sz w:val="24"/>
          <w:szCs w:val="24"/>
          <w:lang w:val="en-US"/>
        </w:rPr>
        <w:t>Internal Medicine Department</w:t>
      </w:r>
      <w:r w:rsidR="00383DF9">
        <w:rPr>
          <w:rFonts w:ascii="Times New Roman" w:hAnsi="Times New Roman"/>
          <w:sz w:val="24"/>
          <w:szCs w:val="24"/>
          <w:lang w:val="en-US"/>
        </w:rPr>
        <w:t xml:space="preserve">, </w:t>
      </w:r>
      <w:r w:rsidR="00112EF5" w:rsidRPr="00112EF5">
        <w:rPr>
          <w:rFonts w:ascii="Times New Roman" w:hAnsi="Times New Roman"/>
          <w:sz w:val="24"/>
          <w:szCs w:val="24"/>
          <w:lang w:val="en-US"/>
        </w:rPr>
        <w:t xml:space="preserve">71 Evler Mahallesi,Çavdarlar Sokak </w:t>
      </w:r>
      <w:r w:rsidR="00112EF5">
        <w:rPr>
          <w:rFonts w:ascii="Times New Roman" w:hAnsi="Times New Roman"/>
          <w:sz w:val="24"/>
          <w:szCs w:val="24"/>
          <w:lang w:val="en-US"/>
        </w:rPr>
        <w:t xml:space="preserve">,26080,Eskişehir City Hospital, </w:t>
      </w:r>
      <w:r w:rsidR="00492089" w:rsidRPr="00DB61AE">
        <w:rPr>
          <w:rFonts w:ascii="Times New Roman" w:hAnsi="Times New Roman"/>
          <w:sz w:val="24"/>
          <w:szCs w:val="24"/>
          <w:lang w:val="en-US"/>
        </w:rPr>
        <w:t>Eskişehir</w:t>
      </w:r>
      <w:r w:rsidR="00112EF5">
        <w:rPr>
          <w:rFonts w:ascii="Times New Roman" w:hAnsi="Times New Roman"/>
          <w:sz w:val="24"/>
          <w:szCs w:val="24"/>
          <w:lang w:val="en-US"/>
        </w:rPr>
        <w:t>,Turkey.</w:t>
      </w:r>
    </w:p>
    <w:p w14:paraId="15A533D7" w14:textId="581E93C0" w:rsidR="00492089" w:rsidRPr="00DB61AE" w:rsidRDefault="00492089" w:rsidP="00002A48">
      <w:pPr>
        <w:spacing w:after="0" w:line="480" w:lineRule="auto"/>
        <w:jc w:val="both"/>
        <w:rPr>
          <w:rFonts w:ascii="Times New Roman" w:hAnsi="Times New Roman"/>
          <w:sz w:val="24"/>
          <w:szCs w:val="24"/>
          <w:lang w:val="en-US"/>
        </w:rPr>
      </w:pPr>
      <w:r w:rsidRPr="00DB61AE">
        <w:rPr>
          <w:rFonts w:ascii="Times New Roman" w:hAnsi="Times New Roman"/>
          <w:sz w:val="24"/>
          <w:szCs w:val="24"/>
        </w:rPr>
        <w:t>including zip code: 26080</w:t>
      </w:r>
    </w:p>
    <w:p w14:paraId="24FB9C25" w14:textId="77777777" w:rsidR="00492089" w:rsidRPr="00DB61AE" w:rsidRDefault="00492089" w:rsidP="00002A48">
      <w:pPr>
        <w:spacing w:after="0" w:line="480" w:lineRule="auto"/>
        <w:jc w:val="both"/>
        <w:rPr>
          <w:rFonts w:ascii="Times New Roman" w:hAnsi="Times New Roman"/>
          <w:sz w:val="24"/>
          <w:szCs w:val="24"/>
          <w:lang w:val="en-US"/>
        </w:rPr>
      </w:pPr>
      <w:r w:rsidRPr="00DB61AE">
        <w:rPr>
          <w:rFonts w:ascii="Times New Roman" w:hAnsi="Times New Roman"/>
          <w:sz w:val="24"/>
          <w:szCs w:val="24"/>
          <w:lang w:val="en-US"/>
        </w:rPr>
        <w:t>hklncal@hotmail.com</w:t>
      </w:r>
    </w:p>
    <w:p w14:paraId="6BF6F3C8" w14:textId="6FCAA916" w:rsidR="00961BE6" w:rsidRPr="00112EF5" w:rsidRDefault="00961BE6" w:rsidP="00112EF5">
      <w:pPr>
        <w:spacing w:after="0" w:line="480" w:lineRule="auto"/>
        <w:jc w:val="both"/>
        <w:rPr>
          <w:rFonts w:ascii="Times New Roman" w:hAnsi="Times New Roman"/>
          <w:b/>
          <w:bCs/>
          <w:sz w:val="24"/>
          <w:szCs w:val="24"/>
          <w:lang w:val="en-US"/>
        </w:rPr>
      </w:pPr>
    </w:p>
    <w:p w14:paraId="2A7AD4ED" w14:textId="77777777" w:rsidR="00961BE6" w:rsidRDefault="00961BE6" w:rsidP="00961BE6">
      <w:pPr>
        <w:spacing w:line="480" w:lineRule="auto"/>
        <w:rPr>
          <w:rFonts w:ascii="Times New Roman"/>
          <w:sz w:val="24"/>
        </w:rPr>
      </w:pPr>
      <w:r>
        <w:rPr>
          <w:rFonts w:ascii="Times New Roman"/>
          <w:sz w:val="24"/>
        </w:rPr>
        <w:t>ABSTRACT</w:t>
      </w:r>
    </w:p>
    <w:p w14:paraId="454756D9" w14:textId="26E1F7DE" w:rsidR="00961BE6" w:rsidRDefault="00112EF5" w:rsidP="00961BE6">
      <w:pPr>
        <w:spacing w:line="480" w:lineRule="auto"/>
        <w:rPr>
          <w:rFonts w:ascii="Times New Roman"/>
          <w:sz w:val="24"/>
        </w:rPr>
      </w:pPr>
      <w:r>
        <w:rPr>
          <w:rFonts w:ascii="Times New Roman"/>
          <w:sz w:val="24"/>
        </w:rPr>
        <w:t>Background</w:t>
      </w:r>
      <w:r w:rsidR="00961BE6">
        <w:rPr>
          <w:rFonts w:ascii="Times New Roman"/>
          <w:sz w:val="24"/>
        </w:rPr>
        <w:t>: With an increase in the elderly population, the frequency of hospitalizations in recent years has also risen at a rapid pace. This, in turn, has resulted in poor outcomes and costly treatments. Hospitalization rates increase in elderly patients due to a decline in glomerular filtration rate (GFR).</w:t>
      </w:r>
      <w:r w:rsidR="00961BE6">
        <w:rPr>
          <w:rFonts w:ascii="Times New Roman"/>
          <w:sz w:val="24"/>
        </w:rPr>
        <w:t> </w:t>
      </w:r>
      <w:r w:rsidR="00961BE6">
        <w:rPr>
          <w:rFonts w:ascii="Times New Roman"/>
          <w:sz w:val="24"/>
        </w:rPr>
        <w:t xml:space="preserve">This study aimed to investigate the connection between GFR and and comorbidity and reasons for hospitalization in </w:t>
      </w:r>
      <w:r>
        <w:rPr>
          <w:rFonts w:ascii="Times New Roman"/>
          <w:sz w:val="24"/>
        </w:rPr>
        <w:t xml:space="preserve">elderly patients. </w:t>
      </w:r>
      <w:r w:rsidR="00961BE6">
        <w:rPr>
          <w:rFonts w:ascii="Times New Roman"/>
          <w:sz w:val="24"/>
        </w:rPr>
        <w:t xml:space="preserve">Methods: We analyzed patients aged 75 years and over who were admitted to the internal medicine clinic of a tertiary hospital in Eskisehir. At admission, we </w:t>
      </w:r>
      <w:proofErr w:type="gramStart"/>
      <w:r w:rsidR="00961BE6">
        <w:rPr>
          <w:rFonts w:ascii="Times New Roman"/>
          <w:sz w:val="24"/>
        </w:rPr>
        <w:t>calculated  GFR</w:t>
      </w:r>
      <w:proofErr w:type="gramEnd"/>
      <w:r w:rsidR="00961BE6">
        <w:rPr>
          <w:rFonts w:ascii="Times New Roman"/>
          <w:sz w:val="24"/>
        </w:rPr>
        <w:t xml:space="preserve"> values using the Modification of Diet in Renal Disease study (MDRD) </w:t>
      </w:r>
      <w:r w:rsidR="00961BE6">
        <w:rPr>
          <w:rFonts w:ascii="Times New Roman"/>
          <w:sz w:val="24"/>
        </w:rPr>
        <w:lastRenderedPageBreak/>
        <w:t xml:space="preserve">formula and classified them into six categories: G1, G2, G3a, G3b, G4, and G5. We analyzed associations with hospitalization diagnoses and comorbidity factors. Results: The average age of the patients was </w:t>
      </w:r>
      <w:proofErr w:type="gramStart"/>
      <w:r w:rsidR="00961BE6">
        <w:rPr>
          <w:rFonts w:ascii="Times New Roman"/>
          <w:sz w:val="24"/>
        </w:rPr>
        <w:t>80.8</w:t>
      </w:r>
      <w:proofErr w:type="gramEnd"/>
      <w:r w:rsidR="00961BE6">
        <w:rPr>
          <w:rFonts w:ascii="Times New Roman"/>
          <w:sz w:val="24"/>
        </w:rPr>
        <w:t xml:space="preserve"> years (</w:t>
      </w:r>
      <w:r w:rsidR="00961BE6">
        <w:rPr>
          <w:rFonts w:ascii="Times New Roman"/>
          <w:sz w:val="24"/>
        </w:rPr>
        <w:t>±</w:t>
      </w:r>
      <w:r w:rsidR="00961BE6">
        <w:rPr>
          <w:rFonts w:ascii="Times New Roman"/>
          <w:sz w:val="24"/>
        </w:rPr>
        <w:t>4.5). GFR was 57.287</w:t>
      </w:r>
      <w:r w:rsidR="00961BE6">
        <w:rPr>
          <w:rFonts w:ascii="Times New Roman"/>
          <w:sz w:val="24"/>
        </w:rPr>
        <w:t>±</w:t>
      </w:r>
      <w:proofErr w:type="gramStart"/>
      <w:r w:rsidR="00961BE6">
        <w:rPr>
          <w:rFonts w:ascii="Times New Roman"/>
          <w:sz w:val="24"/>
        </w:rPr>
        <w:t>29.5</w:t>
      </w:r>
      <w:proofErr w:type="gramEnd"/>
      <w:r w:rsidR="00961BE6">
        <w:rPr>
          <w:rFonts w:ascii="Times New Roman"/>
          <w:sz w:val="24"/>
        </w:rPr>
        <w:t xml:space="preserve"> mL/kg/ 1.73 m2 in women and 61.3</w:t>
      </w:r>
      <w:r w:rsidR="00961BE6">
        <w:rPr>
          <w:rFonts w:ascii="Times New Roman"/>
          <w:sz w:val="24"/>
        </w:rPr>
        <w:t>±</w:t>
      </w:r>
      <w:r w:rsidR="00961BE6">
        <w:rPr>
          <w:rFonts w:ascii="Times New Roman"/>
          <w:sz w:val="24"/>
        </w:rPr>
        <w:t>31.5 mL/kg/ 1.73 m2 in men (p=0.106). Most patients were admitted to the hospital at the G2 stage (</w:t>
      </w:r>
      <w:proofErr w:type="gramStart"/>
      <w:r w:rsidR="00961BE6">
        <w:rPr>
          <w:rFonts w:ascii="Times New Roman"/>
          <w:sz w:val="24"/>
        </w:rPr>
        <w:t>32.8</w:t>
      </w:r>
      <w:proofErr w:type="gramEnd"/>
      <w:r w:rsidR="00961BE6">
        <w:rPr>
          <w:rFonts w:ascii="Times New Roman"/>
          <w:sz w:val="24"/>
        </w:rPr>
        <w:t>%). The main reasons for hospitalization were anemia (</w:t>
      </w:r>
      <w:proofErr w:type="gramStart"/>
      <w:r w:rsidR="00961BE6">
        <w:rPr>
          <w:rFonts w:ascii="Times New Roman"/>
          <w:sz w:val="24"/>
        </w:rPr>
        <w:t>34.4</w:t>
      </w:r>
      <w:proofErr w:type="gramEnd"/>
      <w:r w:rsidR="00961BE6">
        <w:rPr>
          <w:rFonts w:ascii="Times New Roman"/>
          <w:sz w:val="24"/>
        </w:rPr>
        <w:t xml:space="preserve">%, 28.6%) and malnutrition (20.9%, 20.8%) in women and men, respectively. The most frequent comorbidity leading to hospitalization was arterial hypertension (n=168, 28%), followed by diabetes (n=166, </w:t>
      </w:r>
      <w:proofErr w:type="gramStart"/>
      <w:r w:rsidR="00961BE6">
        <w:rPr>
          <w:rFonts w:ascii="Times New Roman"/>
          <w:sz w:val="24"/>
        </w:rPr>
        <w:t>27.7</w:t>
      </w:r>
      <w:proofErr w:type="gramEnd"/>
      <w:r w:rsidR="00961BE6">
        <w:rPr>
          <w:rFonts w:ascii="Times New Roman"/>
          <w:sz w:val="24"/>
        </w:rPr>
        <w:t xml:space="preserve">%). Conclusion: When evaluating geriatric patients, low GFR alone does not provide sufficient information. Patients' comorbid factors should also be taken into account. There is no association between low GFR during hospitalization and hospitalization-related diagnoses. </w:t>
      </w:r>
    </w:p>
    <w:p w14:paraId="05C74748" w14:textId="72015CCB" w:rsidR="00961BE6" w:rsidRDefault="00961BE6" w:rsidP="00961BE6">
      <w:pPr>
        <w:spacing w:line="480" w:lineRule="auto"/>
        <w:rPr>
          <w:rFonts w:ascii="Times New Roman"/>
          <w:sz w:val="24"/>
        </w:rPr>
      </w:pPr>
      <w:r>
        <w:rPr>
          <w:rFonts w:ascii="Times New Roman"/>
          <w:sz w:val="24"/>
        </w:rPr>
        <w:t>Keywords: Aging, Glomerular F</w:t>
      </w:r>
      <w:r>
        <w:rPr>
          <w:rFonts w:ascii="Times New Roman"/>
          <w:sz w:val="24"/>
        </w:rPr>
        <w:t>ı</w:t>
      </w:r>
      <w:r>
        <w:rPr>
          <w:rFonts w:ascii="Times New Roman"/>
          <w:sz w:val="24"/>
        </w:rPr>
        <w:t>ltrat</w:t>
      </w:r>
      <w:r>
        <w:rPr>
          <w:rFonts w:ascii="Times New Roman"/>
          <w:sz w:val="24"/>
        </w:rPr>
        <w:t>ı</w:t>
      </w:r>
      <w:r>
        <w:rPr>
          <w:rFonts w:ascii="Times New Roman"/>
          <w:sz w:val="24"/>
        </w:rPr>
        <w:t>on Rate, Hosp</w:t>
      </w:r>
      <w:r>
        <w:rPr>
          <w:rFonts w:ascii="Times New Roman"/>
          <w:sz w:val="24"/>
        </w:rPr>
        <w:t>ı</w:t>
      </w:r>
      <w:r>
        <w:rPr>
          <w:rFonts w:ascii="Times New Roman"/>
          <w:sz w:val="24"/>
        </w:rPr>
        <w:t>tal</w:t>
      </w:r>
      <w:r>
        <w:rPr>
          <w:rFonts w:ascii="Times New Roman"/>
          <w:sz w:val="24"/>
        </w:rPr>
        <w:t>ı</w:t>
      </w:r>
      <w:r>
        <w:rPr>
          <w:rFonts w:ascii="Times New Roman"/>
          <w:sz w:val="24"/>
        </w:rPr>
        <w:t>zat</w:t>
      </w:r>
      <w:r>
        <w:rPr>
          <w:rFonts w:ascii="Times New Roman"/>
          <w:sz w:val="24"/>
        </w:rPr>
        <w:t>ı</w:t>
      </w:r>
      <w:r w:rsidR="00112EF5">
        <w:rPr>
          <w:rFonts w:ascii="Times New Roman"/>
          <w:sz w:val="24"/>
        </w:rPr>
        <w:t>on, Comorbidity.</w:t>
      </w:r>
    </w:p>
    <w:p w14:paraId="49065106" w14:textId="77777777" w:rsidR="00961BE6" w:rsidRPr="00961BE6" w:rsidRDefault="00961BE6" w:rsidP="00961BE6">
      <w:pPr>
        <w:spacing w:line="480" w:lineRule="auto"/>
        <w:rPr>
          <w:rFonts w:ascii="Times New Roman" w:hAnsi="Times New Roman"/>
          <w:sz w:val="24"/>
        </w:rPr>
      </w:pPr>
      <w:r>
        <w:rPr>
          <w:rFonts w:ascii="Times New Roman"/>
          <w:sz w:val="24"/>
        </w:rPr>
        <w:t>INTRODU</w:t>
      </w:r>
      <w:r w:rsidRPr="00961BE6">
        <w:rPr>
          <w:rFonts w:ascii="Times New Roman" w:hAnsi="Times New Roman"/>
          <w:sz w:val="24"/>
        </w:rPr>
        <w:t>CTION</w:t>
      </w:r>
    </w:p>
    <w:p w14:paraId="125F320B" w14:textId="77777777" w:rsidR="00961BE6" w:rsidRPr="00961BE6" w:rsidRDefault="00961BE6" w:rsidP="00961BE6">
      <w:pPr>
        <w:spacing w:line="480" w:lineRule="auto"/>
        <w:rPr>
          <w:rFonts w:ascii="Times New Roman" w:hAnsi="Times New Roman"/>
          <w:sz w:val="24"/>
        </w:rPr>
      </w:pPr>
      <w:r w:rsidRPr="00961BE6">
        <w:rPr>
          <w:rFonts w:ascii="Times New Roman" w:hAnsi="Times New Roman"/>
          <w:sz w:val="24"/>
        </w:rPr>
        <w:t>As an individual ages, there arises a noticeable decrease in GFR, which reflects the loss of renal function. It becomes difficult to differentiate between GFR loss due to healthy aging and a decline caused by renal diseases.</w:t>
      </w:r>
      <w:r w:rsidRPr="00961BE6">
        <w:rPr>
          <w:rFonts w:ascii="Times New Roman" w:hAnsi="Times New Roman"/>
          <w:sz w:val="24"/>
          <w:vertAlign w:val="superscript"/>
        </w:rPr>
        <w:t>1</w:t>
      </w:r>
      <w:r w:rsidRPr="00961BE6">
        <w:rPr>
          <w:rFonts w:ascii="Times New Roman" w:hAnsi="Times New Roman"/>
          <w:sz w:val="24"/>
        </w:rPr>
        <w:t xml:space="preserve"> As a result, using GFR measurements to determine prognosis in older adults becomes problematic. As a consequence of the anticipated reduction in GFR of 1 mL/min/1.73 m² per year, healthy older adults exhibit a reduced eGFR in comparison to younger adults. </w:t>
      </w:r>
      <w:proofErr w:type="gramStart"/>
      <w:r w:rsidRPr="00961BE6">
        <w:rPr>
          <w:rFonts w:ascii="Times New Roman" w:hAnsi="Times New Roman"/>
          <w:sz w:val="24"/>
          <w:vertAlign w:val="superscript"/>
        </w:rPr>
        <w:t>2-4</w:t>
      </w:r>
      <w:r w:rsidRPr="00961BE6">
        <w:rPr>
          <w:rFonts w:ascii="Times New Roman" w:hAnsi="Times New Roman"/>
          <w:sz w:val="24"/>
        </w:rPr>
        <w:t xml:space="preserve"> Research showed that 50% of people aged over 70 years had a measured or estimated GFR lower than 60 mL/min/1.73 m².</w:t>
      </w:r>
      <w:r w:rsidRPr="00961BE6">
        <w:rPr>
          <w:rFonts w:ascii="Times New Roman" w:hAnsi="Times New Roman"/>
          <w:sz w:val="24"/>
          <w:vertAlign w:val="superscript"/>
        </w:rPr>
        <w:t>5</w:t>
      </w:r>
      <w:r w:rsidRPr="00961BE6">
        <w:rPr>
          <w:rFonts w:ascii="Times New Roman" w:hAnsi="Times New Roman"/>
          <w:sz w:val="24"/>
        </w:rPr>
        <w:t xml:space="preserve"> Furthermore, studies indicate a link between poor health outcomes and reduced GFR in patients with comorbidities.</w:t>
      </w:r>
      <w:r w:rsidRPr="00961BE6">
        <w:rPr>
          <w:rFonts w:ascii="Times New Roman" w:hAnsi="Times New Roman"/>
          <w:sz w:val="24"/>
          <w:vertAlign w:val="superscript"/>
        </w:rPr>
        <w:t>6</w:t>
      </w:r>
      <w:r w:rsidRPr="00961BE6">
        <w:rPr>
          <w:rFonts w:ascii="Times New Roman" w:hAnsi="Times New Roman"/>
          <w:sz w:val="24"/>
        </w:rPr>
        <w:t xml:space="preserve"> A population-based study recently </w:t>
      </w:r>
      <w:r w:rsidRPr="00961BE6">
        <w:rPr>
          <w:rFonts w:ascii="Times New Roman" w:hAnsi="Times New Roman"/>
          <w:sz w:val="24"/>
        </w:rPr>
        <w:lastRenderedPageBreak/>
        <w:t>reported the association between GFR loss and mortality.</w:t>
      </w:r>
      <w:r w:rsidRPr="00961BE6">
        <w:rPr>
          <w:rFonts w:ascii="Times New Roman" w:hAnsi="Times New Roman"/>
          <w:sz w:val="24"/>
          <w:vertAlign w:val="superscript"/>
        </w:rPr>
        <w:t>7</w:t>
      </w:r>
      <w:r w:rsidRPr="00961BE6">
        <w:rPr>
          <w:rFonts w:ascii="Times New Roman" w:hAnsi="Times New Roman"/>
          <w:sz w:val="24"/>
        </w:rPr>
        <w:t xml:space="preserve"> Multiple studies conducted in different countries with large patient populations have concluded that GFR loss raises the risk of mortality. </w:t>
      </w:r>
      <w:proofErr w:type="gramEnd"/>
      <w:r w:rsidRPr="00961BE6">
        <w:rPr>
          <w:rFonts w:ascii="Times New Roman" w:hAnsi="Times New Roman"/>
          <w:sz w:val="24"/>
          <w:vertAlign w:val="superscript"/>
        </w:rPr>
        <w:t>8-10</w:t>
      </w:r>
    </w:p>
    <w:p w14:paraId="690F81D2" w14:textId="77777777" w:rsidR="00961BE6" w:rsidRPr="00961BE6" w:rsidRDefault="00961BE6" w:rsidP="00961BE6">
      <w:pPr>
        <w:spacing w:line="480" w:lineRule="auto"/>
        <w:rPr>
          <w:rFonts w:ascii="Times New Roman" w:hAnsi="Times New Roman"/>
          <w:sz w:val="24"/>
        </w:rPr>
      </w:pPr>
      <w:r w:rsidRPr="00961BE6">
        <w:rPr>
          <w:rFonts w:ascii="Times New Roman" w:hAnsi="Times New Roman"/>
          <w:sz w:val="24"/>
        </w:rPr>
        <w:t xml:space="preserve">The appropriate management of renal failure is crucial in elderly patients, given its increasing prevalence, poor outcomes, and high treatment costs that contribute to a </w:t>
      </w:r>
      <w:proofErr w:type="gramStart"/>
      <w:r w:rsidRPr="00961BE6">
        <w:rPr>
          <w:rFonts w:ascii="Times New Roman" w:hAnsi="Times New Roman"/>
          <w:sz w:val="24"/>
        </w:rPr>
        <w:t>global</w:t>
      </w:r>
      <w:proofErr w:type="gramEnd"/>
      <w:r w:rsidRPr="00961BE6">
        <w:rPr>
          <w:rFonts w:ascii="Times New Roman" w:hAnsi="Times New Roman"/>
          <w:sz w:val="24"/>
        </w:rPr>
        <w:t xml:space="preserve"> public health issue. Our study aimed to explore the correlation between hospitalization diagnoses and GFR.</w:t>
      </w:r>
    </w:p>
    <w:p w14:paraId="12F44D7A" w14:textId="77777777" w:rsidR="00961BE6" w:rsidRPr="00961BE6" w:rsidRDefault="00961BE6" w:rsidP="00961BE6">
      <w:pPr>
        <w:spacing w:line="480" w:lineRule="auto"/>
        <w:rPr>
          <w:rFonts w:ascii="Times New Roman" w:hAnsi="Times New Roman"/>
          <w:sz w:val="24"/>
        </w:rPr>
      </w:pPr>
    </w:p>
    <w:p w14:paraId="414D0249" w14:textId="43D8C290" w:rsidR="00961BE6" w:rsidRPr="00961BE6" w:rsidRDefault="00961BE6" w:rsidP="00961BE6">
      <w:pPr>
        <w:spacing w:line="480" w:lineRule="auto"/>
        <w:rPr>
          <w:rStyle w:val="Gl"/>
          <w:rFonts w:ascii="Times New Roman" w:hAnsi="Times New Roman"/>
          <w:b w:val="0"/>
          <w:color w:val="333333"/>
          <w:shd w:val="clear" w:color="auto" w:fill="FFFFFF"/>
        </w:rPr>
      </w:pPr>
      <w:r w:rsidRPr="00961BE6">
        <w:rPr>
          <w:rStyle w:val="Gl"/>
          <w:rFonts w:ascii="Times New Roman" w:hAnsi="Times New Roman"/>
          <w:color w:val="333333"/>
          <w:sz w:val="24"/>
          <w:shd w:val="clear" w:color="auto" w:fill="FFFFFF"/>
        </w:rPr>
        <w:t>METHODS</w:t>
      </w:r>
    </w:p>
    <w:p w14:paraId="425D7081" w14:textId="77777777" w:rsidR="00961BE6" w:rsidRPr="00961BE6" w:rsidRDefault="00961BE6" w:rsidP="00961BE6">
      <w:pPr>
        <w:spacing w:line="480" w:lineRule="auto"/>
        <w:rPr>
          <w:rStyle w:val="Gl"/>
          <w:rFonts w:ascii="Times New Roman" w:hAnsi="Times New Roman"/>
          <w:b w:val="0"/>
          <w:color w:val="333333"/>
          <w:sz w:val="24"/>
          <w:shd w:val="clear" w:color="auto" w:fill="FFFFFF"/>
        </w:rPr>
      </w:pPr>
      <w:r w:rsidRPr="00961BE6">
        <w:rPr>
          <w:rStyle w:val="Gl"/>
          <w:rFonts w:ascii="Times New Roman" w:hAnsi="Times New Roman"/>
          <w:b w:val="0"/>
          <w:color w:val="333333"/>
          <w:sz w:val="24"/>
          <w:shd w:val="clear" w:color="auto" w:fill="FFFFFF"/>
        </w:rPr>
        <w:t xml:space="preserve">Participants aged 75 years and older who were regularly examined in internal medicine outpatient clinics were included in the study. Data from 600 patients were analyzed retrospectively. Individuals with indications for intensive care unit hospitalization and emergency hemodialysis were excluded. Only patients hospitalized in internal medicine clinics were included in the study. Age, gender, comorbidities, GFR, certain laboratory characteristics and hospitalization diagnosis were recorded. </w:t>
      </w:r>
      <w:proofErr w:type="gramStart"/>
      <w:r w:rsidRPr="00961BE6">
        <w:rPr>
          <w:rStyle w:val="Gl"/>
          <w:rFonts w:ascii="Times New Roman" w:hAnsi="Times New Roman"/>
          <w:b w:val="0"/>
          <w:color w:val="333333"/>
          <w:sz w:val="24"/>
          <w:shd w:val="clear" w:color="auto" w:fill="FFFFFF"/>
        </w:rPr>
        <w:t>BMI was calculated according to the World Health Organization (WHO) guidelines.</w:t>
      </w:r>
      <w:r w:rsidRPr="00961BE6">
        <w:rPr>
          <w:rStyle w:val="Gl"/>
          <w:rFonts w:ascii="Times New Roman" w:hAnsi="Times New Roman"/>
          <w:b w:val="0"/>
          <w:color w:val="333333"/>
          <w:sz w:val="24"/>
          <w:shd w:val="clear" w:color="auto" w:fill="FFFFFF"/>
          <w:vertAlign w:val="superscript"/>
        </w:rPr>
        <w:t>11</w:t>
      </w:r>
      <w:r w:rsidRPr="00961BE6">
        <w:rPr>
          <w:rStyle w:val="Gl"/>
          <w:rFonts w:ascii="Times New Roman" w:hAnsi="Times New Roman"/>
          <w:b w:val="0"/>
          <w:color w:val="333333"/>
          <w:sz w:val="24"/>
          <w:shd w:val="clear" w:color="auto" w:fill="FFFFFF"/>
        </w:rPr>
        <w:t xml:space="preserve"> Hospitalization GFR values were calculated using the MDRD Study formula.</w:t>
      </w:r>
      <w:r w:rsidRPr="00961BE6">
        <w:rPr>
          <w:rStyle w:val="Gl"/>
          <w:rFonts w:ascii="Times New Roman" w:hAnsi="Times New Roman"/>
          <w:b w:val="0"/>
          <w:color w:val="333333"/>
          <w:sz w:val="24"/>
          <w:shd w:val="clear" w:color="auto" w:fill="FFFFFF"/>
          <w:vertAlign w:val="superscript"/>
        </w:rPr>
        <w:t xml:space="preserve">12 </w:t>
      </w:r>
      <w:r w:rsidRPr="00961BE6">
        <w:rPr>
          <w:rStyle w:val="Gl"/>
          <w:rFonts w:ascii="Times New Roman" w:hAnsi="Times New Roman"/>
          <w:b w:val="0"/>
          <w:color w:val="333333"/>
          <w:sz w:val="24"/>
          <w:shd w:val="clear" w:color="auto" w:fill="FFFFFF"/>
        </w:rPr>
        <w:t>Staging was based on six GFR categories: G1, G2, G3a, G3b, G4, and G5.</w:t>
      </w:r>
      <w:r w:rsidRPr="00961BE6">
        <w:rPr>
          <w:rStyle w:val="Gl"/>
          <w:rFonts w:ascii="Times New Roman" w:hAnsi="Times New Roman"/>
          <w:b w:val="0"/>
          <w:color w:val="333333"/>
          <w:sz w:val="24"/>
          <w:shd w:val="clear" w:color="auto" w:fill="FFFFFF"/>
          <w:vertAlign w:val="superscript"/>
        </w:rPr>
        <w:t>13</w:t>
      </w:r>
      <w:r w:rsidRPr="00961BE6">
        <w:rPr>
          <w:rStyle w:val="Gl"/>
          <w:rFonts w:ascii="Times New Roman" w:hAnsi="Times New Roman"/>
          <w:b w:val="0"/>
          <w:color w:val="333333"/>
          <w:sz w:val="24"/>
          <w:shd w:val="clear" w:color="auto" w:fill="FFFFFF"/>
        </w:rPr>
        <w:t xml:space="preserve"> GFR groups based on ml/min per 1.73 m</w:t>
      </w:r>
      <w:r w:rsidRPr="00961BE6">
        <w:rPr>
          <w:rStyle w:val="Gl"/>
          <w:rFonts w:ascii="Times New Roman" w:hAnsi="Times New Roman"/>
          <w:b w:val="0"/>
          <w:color w:val="333333"/>
          <w:sz w:val="24"/>
          <w:shd w:val="clear" w:color="auto" w:fill="FFFFFF"/>
          <w:vertAlign w:val="superscript"/>
        </w:rPr>
        <w:t>2</w:t>
      </w:r>
      <w:r w:rsidRPr="00961BE6">
        <w:rPr>
          <w:rStyle w:val="Gl"/>
          <w:rFonts w:ascii="Times New Roman" w:hAnsi="Times New Roman"/>
          <w:b w:val="0"/>
          <w:color w:val="333333"/>
          <w:sz w:val="24"/>
          <w:shd w:val="clear" w:color="auto" w:fill="FFFFFF"/>
        </w:rPr>
        <w:t xml:space="preserve"> were as follows: G1 with GFR ≥90, G2 with GFR 60-89, G3a with GFR 45-59, G3b with GFR 30-44, G4 with GFR 15-29, and G5 with GFR &lt;15.</w:t>
      </w:r>
      <w:proofErr w:type="gramEnd"/>
    </w:p>
    <w:p w14:paraId="15B1D15E" w14:textId="77777777" w:rsidR="00961BE6" w:rsidRPr="00961BE6" w:rsidRDefault="00961BE6" w:rsidP="00961BE6">
      <w:pPr>
        <w:spacing w:line="480" w:lineRule="auto"/>
        <w:rPr>
          <w:rStyle w:val="Gl"/>
          <w:rFonts w:ascii="Times New Roman" w:hAnsi="Times New Roman"/>
          <w:b w:val="0"/>
          <w:color w:val="333333"/>
          <w:sz w:val="24"/>
          <w:shd w:val="clear" w:color="auto" w:fill="FFFFFF"/>
        </w:rPr>
      </w:pPr>
      <w:r w:rsidRPr="00961BE6">
        <w:rPr>
          <w:rStyle w:val="Gl"/>
          <w:rFonts w:ascii="Times New Roman" w:hAnsi="Times New Roman"/>
          <w:b w:val="0"/>
          <w:color w:val="333333"/>
          <w:sz w:val="24"/>
          <w:shd w:val="clear" w:color="auto" w:fill="FFFFFF"/>
        </w:rPr>
        <w:t>Statistical analysis</w:t>
      </w:r>
    </w:p>
    <w:p w14:paraId="4DD0CC60" w14:textId="0CD9C8D5" w:rsidR="00961BE6" w:rsidRPr="00370F9E" w:rsidRDefault="00961BE6" w:rsidP="00370F9E">
      <w:pPr>
        <w:spacing w:line="480" w:lineRule="auto"/>
        <w:rPr>
          <w:rFonts w:ascii="Times New Roman" w:hAnsi="Times New Roman"/>
          <w:bCs/>
          <w:color w:val="333333"/>
          <w:sz w:val="24"/>
          <w:shd w:val="clear" w:color="auto" w:fill="FFFFFF"/>
        </w:rPr>
      </w:pPr>
      <w:r w:rsidRPr="00961BE6">
        <w:rPr>
          <w:rStyle w:val="Gl"/>
          <w:rFonts w:ascii="Times New Roman" w:hAnsi="Times New Roman"/>
          <w:b w:val="0"/>
          <w:color w:val="333333"/>
          <w:sz w:val="24"/>
          <w:shd w:val="clear" w:color="auto" w:fill="FFFFFF"/>
        </w:rPr>
        <w:t xml:space="preserve">Mean and standard deviation were used to express continuous variables, and categorical variables were expressed as percentages. The obtained results were expressed using </w:t>
      </w:r>
      <w:r w:rsidRPr="00961BE6">
        <w:rPr>
          <w:rStyle w:val="Gl"/>
          <w:rFonts w:ascii="Times New Roman" w:hAnsi="Times New Roman"/>
          <w:b w:val="0"/>
          <w:color w:val="333333"/>
          <w:sz w:val="24"/>
          <w:shd w:val="clear" w:color="auto" w:fill="FFFFFF"/>
        </w:rPr>
        <w:lastRenderedPageBreak/>
        <w:t>standard average and deviation. The Kolmogorov-Smirnov test was used to assess normality. The Pearson chi-square test was used to compare categorical parameters. The comparison of different numerical parameters was analyzed using an independent samples test. To evaluate the differences between groups, Fisher's exact test and ANOVA were used. For post-</w:t>
      </w:r>
      <w:proofErr w:type="gramStart"/>
      <w:r w:rsidRPr="00961BE6">
        <w:rPr>
          <w:rStyle w:val="Gl"/>
          <w:rFonts w:ascii="Times New Roman" w:hAnsi="Times New Roman"/>
          <w:b w:val="0"/>
          <w:color w:val="333333"/>
          <w:sz w:val="24"/>
          <w:shd w:val="clear" w:color="auto" w:fill="FFFFFF"/>
        </w:rPr>
        <w:t>hoc</w:t>
      </w:r>
      <w:proofErr w:type="gramEnd"/>
      <w:r w:rsidRPr="00961BE6">
        <w:rPr>
          <w:rStyle w:val="Gl"/>
          <w:rFonts w:ascii="Times New Roman" w:hAnsi="Times New Roman"/>
          <w:b w:val="0"/>
          <w:color w:val="333333"/>
          <w:sz w:val="24"/>
          <w:shd w:val="clear" w:color="auto" w:fill="FFFFFF"/>
        </w:rPr>
        <w:t xml:space="preserve"> analysis, Tucey and Tamhane were used. A p-value of less than 0.05 was considered statistically significant. The analysis was carried out using I</w:t>
      </w:r>
      <w:r w:rsidR="00370F9E">
        <w:rPr>
          <w:rStyle w:val="Gl"/>
          <w:rFonts w:ascii="Times New Roman" w:hAnsi="Times New Roman"/>
          <w:b w:val="0"/>
          <w:color w:val="333333"/>
          <w:sz w:val="24"/>
          <w:shd w:val="clear" w:color="auto" w:fill="FFFFFF"/>
        </w:rPr>
        <w:t xml:space="preserve">BM SPSS Statistics 25 </w:t>
      </w:r>
      <w:proofErr w:type="gramStart"/>
      <w:r w:rsidR="00370F9E">
        <w:rPr>
          <w:rStyle w:val="Gl"/>
          <w:rFonts w:ascii="Times New Roman" w:hAnsi="Times New Roman"/>
          <w:b w:val="0"/>
          <w:color w:val="333333"/>
          <w:sz w:val="24"/>
          <w:shd w:val="clear" w:color="auto" w:fill="FFFFFF"/>
        </w:rPr>
        <w:t>software</w:t>
      </w:r>
      <w:proofErr w:type="gramEnd"/>
      <w:r w:rsidR="00370F9E">
        <w:rPr>
          <w:rStyle w:val="Gl"/>
          <w:rFonts w:ascii="Times New Roman" w:hAnsi="Times New Roman"/>
          <w:b w:val="0"/>
          <w:color w:val="333333"/>
          <w:sz w:val="24"/>
          <w:shd w:val="clear" w:color="auto" w:fill="FFFFFF"/>
        </w:rPr>
        <w:t>.</w:t>
      </w:r>
      <w:r>
        <w:rPr>
          <w:rFonts w:ascii="Times New Roman"/>
          <w:bCs/>
          <w:sz w:val="24"/>
        </w:rPr>
        <w:tab/>
      </w:r>
    </w:p>
    <w:p w14:paraId="5E3D4C33" w14:textId="77777777" w:rsidR="00961BE6" w:rsidRDefault="00961BE6" w:rsidP="00961BE6">
      <w:pPr>
        <w:spacing w:line="480" w:lineRule="auto"/>
        <w:rPr>
          <w:rFonts w:ascii="Times New Roman"/>
          <w:b/>
          <w:sz w:val="24"/>
        </w:rPr>
      </w:pPr>
      <w:r>
        <w:rPr>
          <w:rFonts w:ascii="Times New Roman"/>
          <w:b/>
          <w:sz w:val="24"/>
        </w:rPr>
        <w:t>RESULTS</w:t>
      </w:r>
    </w:p>
    <w:p w14:paraId="70A12BBF" w14:textId="77777777" w:rsidR="00961BE6" w:rsidRDefault="00961BE6" w:rsidP="00961BE6">
      <w:pPr>
        <w:spacing w:line="480" w:lineRule="auto"/>
        <w:rPr>
          <w:rFonts w:ascii="Times New Roman"/>
          <w:sz w:val="24"/>
        </w:rPr>
      </w:pPr>
      <w:r>
        <w:rPr>
          <w:rFonts w:ascii="Times New Roman"/>
          <w:sz w:val="24"/>
        </w:rPr>
        <w:t>We examined 600 patients admitted to the internal medicine ward. Among them, 231 (</w:t>
      </w:r>
      <w:proofErr w:type="gramStart"/>
      <w:r>
        <w:rPr>
          <w:rFonts w:ascii="Times New Roman"/>
          <w:sz w:val="24"/>
        </w:rPr>
        <w:t>38.5</w:t>
      </w:r>
      <w:proofErr w:type="gramEnd"/>
      <w:r>
        <w:rPr>
          <w:rFonts w:ascii="Times New Roman"/>
          <w:sz w:val="24"/>
        </w:rPr>
        <w:t xml:space="preserve">%) patients were male, and 369 (61.5%) were female. The difference between the numbers of male and female patients was not statistically significant (p=0.130). The average age of all patients was </w:t>
      </w:r>
      <w:proofErr w:type="gramStart"/>
      <w:r>
        <w:rPr>
          <w:rFonts w:ascii="Times New Roman"/>
          <w:sz w:val="24"/>
        </w:rPr>
        <w:t>80.8</w:t>
      </w:r>
      <w:proofErr w:type="gramEnd"/>
      <w:r>
        <w:rPr>
          <w:rFonts w:ascii="Times New Roman"/>
          <w:sz w:val="24"/>
        </w:rPr>
        <w:t xml:space="preserve"> (</w:t>
      </w:r>
      <w:r>
        <w:rPr>
          <w:rFonts w:ascii="Times New Roman"/>
          <w:sz w:val="24"/>
        </w:rPr>
        <w:t>±</w:t>
      </w:r>
      <w:r>
        <w:rPr>
          <w:rFonts w:ascii="Times New Roman"/>
          <w:sz w:val="24"/>
        </w:rPr>
        <w:t>4.5) years. The GFR was 57.287</w:t>
      </w:r>
      <w:r>
        <w:rPr>
          <w:rFonts w:ascii="Times New Roman"/>
          <w:sz w:val="24"/>
        </w:rPr>
        <w:t>±</w:t>
      </w:r>
      <w:proofErr w:type="gramStart"/>
      <w:r>
        <w:rPr>
          <w:rFonts w:ascii="Times New Roman"/>
          <w:sz w:val="24"/>
        </w:rPr>
        <w:t>29.5</w:t>
      </w:r>
      <w:proofErr w:type="gramEnd"/>
      <w:r>
        <w:rPr>
          <w:rFonts w:ascii="Times New Roman"/>
          <w:sz w:val="24"/>
        </w:rPr>
        <w:t xml:space="preserve"> mL/kg/ 1.73 m2 in women and 61.3</w:t>
      </w:r>
      <w:r>
        <w:rPr>
          <w:rFonts w:ascii="Times New Roman"/>
          <w:sz w:val="24"/>
        </w:rPr>
        <w:t>±</w:t>
      </w:r>
      <w:r>
        <w:rPr>
          <w:rFonts w:ascii="Times New Roman"/>
          <w:sz w:val="24"/>
        </w:rPr>
        <w:t>31.5 mL/kg/ 1.73 m2 in men (p=0.106). The GFR values of the patients during hospitalization were calculated using the MDRD formula and analyzed in six groups. The most common hospitalization stage for patients was G2 (</w:t>
      </w:r>
      <w:proofErr w:type="gramStart"/>
      <w:r>
        <w:rPr>
          <w:rFonts w:ascii="Times New Roman"/>
          <w:sz w:val="24"/>
        </w:rPr>
        <w:t>32.8</w:t>
      </w:r>
      <w:proofErr w:type="gramEnd"/>
      <w:r>
        <w:rPr>
          <w:rFonts w:ascii="Times New Roman"/>
          <w:sz w:val="24"/>
        </w:rPr>
        <w:t>%). A total of 147 (</w:t>
      </w:r>
      <w:proofErr w:type="gramStart"/>
      <w:r>
        <w:rPr>
          <w:rFonts w:ascii="Times New Roman"/>
          <w:sz w:val="24"/>
        </w:rPr>
        <w:t>24.5</w:t>
      </w:r>
      <w:proofErr w:type="gramEnd"/>
      <w:r>
        <w:rPr>
          <w:rFonts w:ascii="Times New Roman"/>
          <w:sz w:val="24"/>
        </w:rPr>
        <w:t xml:space="preserve">%) patients did not have any comorbidities. Arterial hypertension (n=168, 28%) was the most frequent comorbidity, followed by diabetes (n=166, </w:t>
      </w:r>
      <w:proofErr w:type="gramStart"/>
      <w:r>
        <w:rPr>
          <w:rFonts w:ascii="Times New Roman"/>
          <w:sz w:val="24"/>
        </w:rPr>
        <w:t>27.7</w:t>
      </w:r>
      <w:proofErr w:type="gramEnd"/>
      <w:r>
        <w:rPr>
          <w:rFonts w:ascii="Times New Roman"/>
          <w:sz w:val="24"/>
        </w:rPr>
        <w:t xml:space="preserve">%). Table 1 shows the characteristics of patients according to GFR groups. </w:t>
      </w:r>
    </w:p>
    <w:p w14:paraId="72183BD0" w14:textId="77777777" w:rsidR="00961BE6" w:rsidRDefault="00961BE6" w:rsidP="00961BE6">
      <w:pPr>
        <w:spacing w:line="480" w:lineRule="auto"/>
        <w:rPr>
          <w:rFonts w:ascii="Times New Roman"/>
          <w:sz w:val="24"/>
        </w:rPr>
      </w:pPr>
      <w:r>
        <w:rPr>
          <w:rFonts w:ascii="Times New Roman"/>
          <w:sz w:val="24"/>
        </w:rPr>
        <w:t>Table 2 shows the analysis of patient diagnoses upon admission to the clinic according to GFR groups. There was no significant difference in hospitalization diagnoses between male and female patients (p=0.308). The primary reasons for hospitalization were anemia (</w:t>
      </w:r>
      <w:proofErr w:type="gramStart"/>
      <w:r>
        <w:rPr>
          <w:rFonts w:ascii="Times New Roman"/>
          <w:sz w:val="24"/>
        </w:rPr>
        <w:t>34.4</w:t>
      </w:r>
      <w:proofErr w:type="gramEnd"/>
      <w:r>
        <w:rPr>
          <w:rFonts w:ascii="Times New Roman"/>
          <w:sz w:val="24"/>
        </w:rPr>
        <w:t>%, 28.6%) and malnutrition (20.9%, 20.8%) for women and men, respectively. Men had higher rates of hospitalization caused by pneumonia (</w:t>
      </w:r>
      <w:proofErr w:type="gramStart"/>
      <w:r>
        <w:rPr>
          <w:rFonts w:ascii="Times New Roman"/>
          <w:sz w:val="24"/>
        </w:rPr>
        <w:t>5.2</w:t>
      </w:r>
      <w:proofErr w:type="gramEnd"/>
      <w:r>
        <w:rPr>
          <w:rFonts w:ascii="Times New Roman"/>
          <w:sz w:val="24"/>
        </w:rPr>
        <w:t xml:space="preserve">%) and </w:t>
      </w:r>
      <w:r>
        <w:rPr>
          <w:rFonts w:ascii="Times New Roman"/>
          <w:sz w:val="24"/>
        </w:rPr>
        <w:lastRenderedPageBreak/>
        <w:t>acute renal failure (13.4%). Women had a higher incidence of urinary infections (</w:t>
      </w:r>
      <w:proofErr w:type="gramStart"/>
      <w:r>
        <w:rPr>
          <w:rFonts w:ascii="Times New Roman"/>
          <w:sz w:val="24"/>
        </w:rPr>
        <w:t>8.4</w:t>
      </w:r>
      <w:proofErr w:type="gramEnd"/>
      <w:r>
        <w:rPr>
          <w:rFonts w:ascii="Times New Roman"/>
          <w:sz w:val="24"/>
        </w:rPr>
        <w:t>%). There was no statistically significant difference in comorbidities observed between men and women (p=0.078).The highest number of hospitalizations was observed among patients without comorbidities and those with diabetes and arterial hypertension. Table 3 illustrates the relationship between comorbidities and indications for hospitalization. The most common indications for hospitalization among patients without comorbidities were the G2 stage (</w:t>
      </w:r>
      <w:proofErr w:type="gramStart"/>
      <w:r>
        <w:rPr>
          <w:rFonts w:ascii="Times New Roman"/>
          <w:sz w:val="24"/>
        </w:rPr>
        <w:t>43.5</w:t>
      </w:r>
      <w:proofErr w:type="gramEnd"/>
      <w:r>
        <w:rPr>
          <w:rFonts w:ascii="Times New Roman"/>
          <w:sz w:val="24"/>
        </w:rPr>
        <w:t>%), anemia (46.9%), and malnutrition (25.2%). Patients with Alzheimer's disease were admitted to hospitals in the G1 stage (40%), the common reason being malnutrition (</w:t>
      </w:r>
      <w:proofErr w:type="gramStart"/>
      <w:r>
        <w:rPr>
          <w:rFonts w:ascii="Times New Roman"/>
          <w:sz w:val="24"/>
        </w:rPr>
        <w:t>40.9</w:t>
      </w:r>
      <w:proofErr w:type="gramEnd"/>
      <w:r>
        <w:rPr>
          <w:rFonts w:ascii="Times New Roman"/>
          <w:sz w:val="24"/>
        </w:rPr>
        <w:t>%). Patients with cerebrovascular occlusion were admitted to hospitals in the G5 stage (40%), with acute renal failure (40%) being the most frequent cause, followed by urinary infection (30%). Patients with COAD were hospitalized with anemia (50%) in the G3a stage (</w:t>
      </w:r>
      <w:proofErr w:type="gramStart"/>
      <w:r>
        <w:rPr>
          <w:rFonts w:ascii="Times New Roman"/>
          <w:sz w:val="24"/>
        </w:rPr>
        <w:t>37.5</w:t>
      </w:r>
      <w:proofErr w:type="gramEnd"/>
      <w:r>
        <w:rPr>
          <w:rFonts w:ascii="Times New Roman"/>
          <w:sz w:val="24"/>
        </w:rPr>
        <w:t>%). Patients with cancer were hospitalized with anemia (</w:t>
      </w:r>
      <w:proofErr w:type="gramStart"/>
      <w:r>
        <w:rPr>
          <w:rFonts w:ascii="Times New Roman"/>
          <w:sz w:val="24"/>
        </w:rPr>
        <w:t>45.5</w:t>
      </w:r>
      <w:proofErr w:type="gramEnd"/>
      <w:r>
        <w:rPr>
          <w:rFonts w:ascii="Times New Roman"/>
          <w:sz w:val="24"/>
        </w:rPr>
        <w:t>%) in the G3b stage (54.5%).</w:t>
      </w:r>
    </w:p>
    <w:p w14:paraId="26BB9D50" w14:textId="77777777" w:rsidR="00961BE6" w:rsidRDefault="00961BE6" w:rsidP="00961BE6">
      <w:pPr>
        <w:spacing w:line="480" w:lineRule="auto"/>
        <w:rPr>
          <w:rFonts w:ascii="Times New Roman"/>
          <w:sz w:val="24"/>
        </w:rPr>
      </w:pPr>
      <w:r>
        <w:rPr>
          <w:rFonts w:ascii="Times New Roman"/>
          <w:sz w:val="24"/>
        </w:rPr>
        <w:t>DISCUSSION</w:t>
      </w:r>
    </w:p>
    <w:p w14:paraId="068EDE8F" w14:textId="77777777" w:rsidR="00961BE6" w:rsidRDefault="00961BE6" w:rsidP="00961BE6">
      <w:pPr>
        <w:spacing w:line="480" w:lineRule="auto"/>
        <w:rPr>
          <w:rFonts w:ascii="Times New Roman"/>
          <w:sz w:val="24"/>
        </w:rPr>
      </w:pPr>
      <w:r>
        <w:rPr>
          <w:rFonts w:ascii="Times New Roman"/>
          <w:sz w:val="24"/>
        </w:rPr>
        <w:t xml:space="preserve">Approximately 50% of individuals over the age of 75 meet the present diagnostic criteria for chronic kidney disease (CKD). </w:t>
      </w:r>
      <w:proofErr w:type="gramStart"/>
      <w:r>
        <w:rPr>
          <w:rFonts w:ascii="Times New Roman"/>
          <w:sz w:val="24"/>
        </w:rPr>
        <w:t>Yet, marking them all as ill is debatable.</w:t>
      </w:r>
      <w:r>
        <w:rPr>
          <w:rFonts w:ascii="Times New Roman"/>
          <w:sz w:val="24"/>
          <w:vertAlign w:val="superscript"/>
        </w:rPr>
        <w:t xml:space="preserve">14 </w:t>
      </w:r>
      <w:r>
        <w:rPr>
          <w:rFonts w:ascii="Times New Roman"/>
          <w:sz w:val="24"/>
        </w:rPr>
        <w:t>A lack of an exact definition of the standard GFR range for the elderly results in over diagnosing renal failure in the elderly population.</w:t>
      </w:r>
      <w:r>
        <w:rPr>
          <w:rFonts w:ascii="Times New Roman"/>
          <w:sz w:val="24"/>
          <w:vertAlign w:val="superscript"/>
        </w:rPr>
        <w:t>15-17</w:t>
      </w:r>
      <w:r>
        <w:rPr>
          <w:rFonts w:ascii="Times New Roman"/>
          <w:sz w:val="24"/>
        </w:rPr>
        <w:t xml:space="preserve"> Categorization of elderly patients with age-dependent e GFR decrease as chronic kidney disease is crucial, as it increases the likelihood of unwarranted intervention with extra implications for healthcare practices and policies for most of this age group.</w:t>
      </w:r>
      <w:r>
        <w:rPr>
          <w:rFonts w:ascii="Times New Roman"/>
          <w:sz w:val="24"/>
          <w:vertAlign w:val="superscript"/>
        </w:rPr>
        <w:t>15-17</w:t>
      </w:r>
      <w:r>
        <w:rPr>
          <w:rFonts w:ascii="Times New Roman"/>
          <w:sz w:val="24"/>
        </w:rPr>
        <w:t xml:space="preserve"> The GFR value of the patients in our study was 58.87 </w:t>
      </w:r>
      <w:r>
        <w:rPr>
          <w:rFonts w:ascii="Times New Roman"/>
          <w:sz w:val="24"/>
        </w:rPr>
        <w:t>±</w:t>
      </w:r>
      <w:r>
        <w:rPr>
          <w:rFonts w:ascii="Times New Roman"/>
          <w:sz w:val="24"/>
        </w:rPr>
        <w:t xml:space="preserve"> 30 mL/kg/ 1. 73 m</w:t>
      </w:r>
      <w:r>
        <w:rPr>
          <w:rFonts w:ascii="Times New Roman"/>
          <w:sz w:val="24"/>
        </w:rPr>
        <w:t>²</w:t>
      </w:r>
      <w:r>
        <w:rPr>
          <w:rFonts w:ascii="Times New Roman"/>
          <w:sz w:val="24"/>
        </w:rPr>
        <w:t xml:space="preserve"> at the time of hospitalization (p &lt; 0.001). </w:t>
      </w:r>
      <w:proofErr w:type="gramEnd"/>
      <w:r>
        <w:rPr>
          <w:rFonts w:ascii="Times New Roman"/>
          <w:sz w:val="24"/>
        </w:rPr>
        <w:t>We also found that patients with (</w:t>
      </w:r>
      <w:proofErr w:type="gramStart"/>
      <w:r>
        <w:rPr>
          <w:rFonts w:ascii="Times New Roman"/>
          <w:sz w:val="24"/>
        </w:rPr>
        <w:t>32.8</w:t>
      </w:r>
      <w:proofErr w:type="gramEnd"/>
      <w:r>
        <w:rPr>
          <w:rFonts w:ascii="Times New Roman"/>
          <w:sz w:val="24"/>
        </w:rPr>
        <w:t xml:space="preserve">%) and without (43.5%) comorbidities were most </w:t>
      </w:r>
      <w:r>
        <w:rPr>
          <w:rFonts w:ascii="Times New Roman"/>
          <w:sz w:val="24"/>
        </w:rPr>
        <w:lastRenderedPageBreak/>
        <w:t xml:space="preserve">commonly hospitalized in G2 stage. This indicates that comorbid factors did not affect the GFR values of the hospitalized patients. </w:t>
      </w:r>
    </w:p>
    <w:p w14:paraId="31FCB4EB" w14:textId="77777777" w:rsidR="00961BE6" w:rsidRDefault="00961BE6" w:rsidP="00961BE6">
      <w:pPr>
        <w:spacing w:line="480" w:lineRule="auto"/>
        <w:rPr>
          <w:rFonts w:ascii="Times New Roman"/>
          <w:sz w:val="24"/>
        </w:rPr>
      </w:pPr>
      <w:r>
        <w:rPr>
          <w:rFonts w:ascii="Times New Roman"/>
          <w:sz w:val="24"/>
        </w:rPr>
        <w:t>In mortality studies in the elderly, low GFR has been evaluated as an important parameter.</w:t>
      </w:r>
      <w:r>
        <w:rPr>
          <w:rFonts w:ascii="Times New Roman"/>
          <w:sz w:val="24"/>
          <w:vertAlign w:val="superscript"/>
        </w:rPr>
        <w:t xml:space="preserve">6 </w:t>
      </w:r>
      <w:r>
        <w:rPr>
          <w:rFonts w:ascii="Times New Roman"/>
          <w:sz w:val="24"/>
        </w:rPr>
        <w:t>This study does not investigate mortality. GFR-related hospitalization diagnostics were not affected by the presence of comorbid factors. There was no significant difference in comorbidities between men and women (p=0.078). Of the hospitalized patients, 147 (</w:t>
      </w:r>
      <w:proofErr w:type="gramStart"/>
      <w:r>
        <w:rPr>
          <w:rFonts w:ascii="Times New Roman"/>
          <w:sz w:val="24"/>
        </w:rPr>
        <w:t>24.5</w:t>
      </w:r>
      <w:proofErr w:type="gramEnd"/>
      <w:r>
        <w:rPr>
          <w:rFonts w:ascii="Times New Roman"/>
          <w:sz w:val="24"/>
        </w:rPr>
        <w:t xml:space="preserve">%) had no comorbidities. Diabetes (n=166, </w:t>
      </w:r>
      <w:proofErr w:type="gramStart"/>
      <w:r>
        <w:rPr>
          <w:rFonts w:ascii="Times New Roman"/>
          <w:sz w:val="24"/>
        </w:rPr>
        <w:t>27.7</w:t>
      </w:r>
      <w:proofErr w:type="gramEnd"/>
      <w:r>
        <w:rPr>
          <w:rFonts w:ascii="Times New Roman"/>
          <w:sz w:val="24"/>
        </w:rPr>
        <w:t>%) and arterial hypertension (n=168, 28%) were more prevalent. Our study found a significant difference only between patients without comorbidities (</w:t>
      </w:r>
      <w:proofErr w:type="gramStart"/>
      <w:r>
        <w:rPr>
          <w:rFonts w:ascii="Times New Roman"/>
          <w:sz w:val="24"/>
        </w:rPr>
        <w:t>67.4</w:t>
      </w:r>
      <w:proofErr w:type="gramEnd"/>
      <w:r>
        <w:rPr>
          <w:rFonts w:ascii="Times New Roman"/>
          <w:sz w:val="24"/>
        </w:rPr>
        <w:t>±</w:t>
      </w:r>
      <w:r>
        <w:rPr>
          <w:rFonts w:ascii="Times New Roman"/>
          <w:sz w:val="24"/>
        </w:rPr>
        <w:t>27.4 mL/kg/ 1.73 m</w:t>
      </w:r>
      <w:r>
        <w:rPr>
          <w:rFonts w:ascii="Times New Roman"/>
          <w:sz w:val="24"/>
        </w:rPr>
        <w:t>²</w:t>
      </w:r>
      <w:r>
        <w:rPr>
          <w:rFonts w:ascii="Times New Roman"/>
          <w:sz w:val="24"/>
        </w:rPr>
        <w:t>) and those with diabetes (53.5</w:t>
      </w:r>
      <w:r>
        <w:rPr>
          <w:rFonts w:ascii="Times New Roman"/>
          <w:sz w:val="24"/>
        </w:rPr>
        <w:t>±</w:t>
      </w:r>
      <w:r>
        <w:rPr>
          <w:rFonts w:ascii="Times New Roman"/>
          <w:sz w:val="24"/>
        </w:rPr>
        <w:t>28.3 mL/kg/ 1.73 m</w:t>
      </w:r>
      <w:r>
        <w:rPr>
          <w:rFonts w:ascii="Times New Roman"/>
          <w:sz w:val="24"/>
        </w:rPr>
        <w:t>²</w:t>
      </w:r>
      <w:r>
        <w:rPr>
          <w:rFonts w:ascii="Times New Roman"/>
          <w:sz w:val="24"/>
        </w:rPr>
        <w:t>) (p=0.001) and cancer (41.6</w:t>
      </w:r>
      <w:r>
        <w:rPr>
          <w:rFonts w:ascii="Times New Roman"/>
          <w:sz w:val="24"/>
        </w:rPr>
        <w:t>±</w:t>
      </w:r>
      <w:r>
        <w:rPr>
          <w:rFonts w:ascii="Times New Roman"/>
          <w:sz w:val="24"/>
        </w:rPr>
        <w:t>18.6 mL/kg/ 1.73 m</w:t>
      </w:r>
      <w:r>
        <w:rPr>
          <w:rFonts w:ascii="Times New Roman"/>
          <w:sz w:val="24"/>
        </w:rPr>
        <w:t>²</w:t>
      </w:r>
      <w:r>
        <w:rPr>
          <w:rFonts w:ascii="Times New Roman"/>
          <w:sz w:val="24"/>
        </w:rPr>
        <w:t>) (p=0.03). This difference can be attributed to the high frequency of diabetes in our study population and the low frequency of cancer patients. Hospitalization of cancer patients occurred at the G3b stage (</w:t>
      </w:r>
      <w:proofErr w:type="gramStart"/>
      <w:r>
        <w:rPr>
          <w:rFonts w:ascii="Times New Roman"/>
          <w:sz w:val="24"/>
        </w:rPr>
        <w:t>54.5</w:t>
      </w:r>
      <w:proofErr w:type="gramEnd"/>
      <w:r>
        <w:rPr>
          <w:rFonts w:ascii="Times New Roman"/>
          <w:sz w:val="24"/>
        </w:rPr>
        <w:t>%), while diabetes patients were hospitalized at the G2 stage (25.9%).</w:t>
      </w:r>
    </w:p>
    <w:p w14:paraId="46B57237" w14:textId="77777777" w:rsidR="00961BE6" w:rsidRDefault="00961BE6" w:rsidP="00961BE6">
      <w:pPr>
        <w:spacing w:line="480" w:lineRule="auto"/>
        <w:rPr>
          <w:rFonts w:ascii="Times New Roman"/>
          <w:sz w:val="24"/>
        </w:rPr>
      </w:pPr>
      <w:r>
        <w:rPr>
          <w:rFonts w:ascii="Times New Roman"/>
          <w:sz w:val="24"/>
        </w:rPr>
        <w:t>Our study discovered that GFR values during hospitalization had no impact on the clinical diagnosis of hospitalization in the population over 75 years of age. Anemia and malnutrition were the most frequent hospitalization diagnoses across all GFR stages. Among women and men, anemia (</w:t>
      </w:r>
      <w:proofErr w:type="gramStart"/>
      <w:r>
        <w:rPr>
          <w:rFonts w:ascii="Times New Roman"/>
          <w:sz w:val="24"/>
        </w:rPr>
        <w:t>34.4</w:t>
      </w:r>
      <w:proofErr w:type="gramEnd"/>
      <w:r>
        <w:rPr>
          <w:rFonts w:ascii="Times New Roman"/>
          <w:sz w:val="24"/>
        </w:rPr>
        <w:t xml:space="preserve">% and 28.6%, respectively) and malnutrition (20.9% and 20.8%, respectively) were the most common causes of hospitalization. The hospitalization diagnoses of male and female patients did not show a notable difference (p=0.308). The similar hospitalization diagnoses in all patients were attributed to gastrointestinal system absorption and function disorders that developed due to their advanced age and were independent of comorbid factors. This is why diagnoses of anemia and malnutrition were common. Earlier studies focused primarily on the </w:t>
      </w:r>
      <w:r>
        <w:rPr>
          <w:rFonts w:ascii="Times New Roman"/>
          <w:sz w:val="24"/>
        </w:rPr>
        <w:lastRenderedPageBreak/>
        <w:t>relationship between low GFR, mortality, and comorbid factors. Mortality was found to increase as GFR decreased.</w:t>
      </w:r>
      <w:r>
        <w:rPr>
          <w:rFonts w:ascii="Times New Roman"/>
          <w:sz w:val="24"/>
          <w:vertAlign w:val="superscript"/>
        </w:rPr>
        <w:t>18-20</w:t>
      </w:r>
    </w:p>
    <w:p w14:paraId="39EB6F76" w14:textId="77777777" w:rsidR="00961BE6" w:rsidRDefault="00961BE6" w:rsidP="00961BE6">
      <w:pPr>
        <w:spacing w:line="480" w:lineRule="auto"/>
        <w:rPr>
          <w:rFonts w:ascii="Times New Roman"/>
          <w:sz w:val="24"/>
        </w:rPr>
      </w:pPr>
      <w:r>
        <w:rPr>
          <w:rFonts w:ascii="Times New Roman"/>
          <w:sz w:val="24"/>
        </w:rPr>
        <w:t>In conclusion, the natural process of aging, coupled with a lack of effective healthcare policies, reduces the standard of living for senior citizens. If preventive medicine is not administered to healthy elderly individuals, they are more likely to require hospitalization. Renal dysfunction is one of the most critical problems associated with aging. Our study aims to highlight the physiologically low GFR in the elderly rather than focusing on the mortality rate. Therefore, we assessed GFR based on various stages. The hospitalization diagnoses were similar in individuals with all stages of GFR. The presence of comorbidities did not affect GFR during hospitalization, according to our findings. We anticipate that our findings will add to the existing literature since we did not come across a study that was akin to ours. Our study indicates that the GFR at the time of diagnosis correlates with the age of the patient and the aging of the kidney. Special GFR calculations should be made for patients aged 75 years and older, using distinct formulas not currently available. These calculations should take into account the physiological aging process of the kidney.</w:t>
      </w:r>
    </w:p>
    <w:p w14:paraId="181FE6A6" w14:textId="77777777" w:rsidR="00961BE6" w:rsidRDefault="00961BE6" w:rsidP="00961BE6">
      <w:pPr>
        <w:spacing w:after="200" w:line="480" w:lineRule="auto"/>
        <w:rPr>
          <w:rFonts w:ascii="Times New Roman" w:eastAsia="Calibri"/>
          <w:b/>
          <w:bCs/>
          <w:sz w:val="24"/>
          <w:lang w:eastAsia="en-US"/>
        </w:rPr>
      </w:pPr>
      <w:r>
        <w:rPr>
          <w:rFonts w:ascii="Times New Roman" w:eastAsia="Calibri"/>
          <w:b/>
          <w:bCs/>
          <w:sz w:val="24"/>
          <w:lang w:eastAsia="en-US"/>
        </w:rPr>
        <w:t>STUDY L</w:t>
      </w:r>
      <w:r>
        <w:rPr>
          <w:rFonts w:ascii="Times New Roman" w:eastAsia="Calibri"/>
          <w:b/>
          <w:bCs/>
          <w:sz w:val="24"/>
          <w:lang w:eastAsia="en-US"/>
        </w:rPr>
        <w:t>İ</w:t>
      </w:r>
      <w:r>
        <w:rPr>
          <w:rFonts w:ascii="Times New Roman" w:eastAsia="Calibri"/>
          <w:b/>
          <w:bCs/>
          <w:sz w:val="24"/>
          <w:lang w:eastAsia="en-US"/>
        </w:rPr>
        <w:t>M</w:t>
      </w:r>
      <w:r>
        <w:rPr>
          <w:rFonts w:ascii="Times New Roman" w:eastAsia="Calibri"/>
          <w:b/>
          <w:bCs/>
          <w:sz w:val="24"/>
          <w:lang w:eastAsia="en-US"/>
        </w:rPr>
        <w:t>İ</w:t>
      </w:r>
      <w:r>
        <w:rPr>
          <w:rFonts w:ascii="Times New Roman" w:eastAsia="Calibri"/>
          <w:b/>
          <w:bCs/>
          <w:sz w:val="24"/>
          <w:lang w:eastAsia="en-US"/>
        </w:rPr>
        <w:t>TAT</w:t>
      </w:r>
      <w:r>
        <w:rPr>
          <w:rFonts w:ascii="Times New Roman" w:eastAsia="Calibri"/>
          <w:b/>
          <w:bCs/>
          <w:sz w:val="24"/>
          <w:lang w:eastAsia="en-US"/>
        </w:rPr>
        <w:t>İ</w:t>
      </w:r>
      <w:r>
        <w:rPr>
          <w:rFonts w:ascii="Times New Roman" w:eastAsia="Calibri"/>
          <w:b/>
          <w:bCs/>
          <w:sz w:val="24"/>
          <w:lang w:eastAsia="en-US"/>
        </w:rPr>
        <w:t>ONS</w:t>
      </w:r>
    </w:p>
    <w:p w14:paraId="1AE02D8C" w14:textId="77777777" w:rsidR="00961BE6" w:rsidRDefault="00961BE6" w:rsidP="00961BE6">
      <w:pPr>
        <w:spacing w:after="200" w:line="480" w:lineRule="auto"/>
        <w:rPr>
          <w:rFonts w:ascii="Times New Roman" w:eastAsia="Calibri"/>
          <w:bCs/>
          <w:sz w:val="24"/>
          <w:lang w:eastAsia="en-US"/>
        </w:rPr>
      </w:pPr>
      <w:r>
        <w:rPr>
          <w:rFonts w:ascii="Times New Roman" w:eastAsia="Calibri"/>
          <w:bCs/>
          <w:sz w:val="24"/>
          <w:lang w:eastAsia="en-US"/>
        </w:rPr>
        <w:t>The GFR value of patients in the study was determined using a single method. While there are several alternative methods to measure GFR and compare the value during hospitalization with that from 6 months prior, unavailable pre-hospitalization examinations limited our scope.  Future studies should consider measuring GFR using various methods across larger population samples in narrower age ranges.</w:t>
      </w:r>
    </w:p>
    <w:p w14:paraId="754A4A16" w14:textId="639CCE65" w:rsidR="00112EF5" w:rsidRDefault="00112EF5" w:rsidP="00961BE6">
      <w:pPr>
        <w:spacing w:after="200" w:line="480" w:lineRule="auto"/>
        <w:rPr>
          <w:rFonts w:ascii="Times New Roman" w:eastAsia="Calibri"/>
          <w:b/>
          <w:bCs/>
          <w:sz w:val="24"/>
          <w:lang w:eastAsia="en-US"/>
        </w:rPr>
      </w:pPr>
      <w:r w:rsidRPr="00112EF5">
        <w:rPr>
          <w:rFonts w:ascii="Times New Roman" w:eastAsia="Calibri"/>
          <w:b/>
          <w:bCs/>
          <w:sz w:val="24"/>
          <w:lang w:eastAsia="en-US"/>
        </w:rPr>
        <w:t>Authors</w:t>
      </w:r>
      <w:r w:rsidRPr="00112EF5">
        <w:rPr>
          <w:rFonts w:ascii="Times New Roman" w:eastAsia="Calibri"/>
          <w:b/>
          <w:bCs/>
          <w:sz w:val="24"/>
          <w:lang w:eastAsia="en-US"/>
        </w:rPr>
        <w:t>’</w:t>
      </w:r>
      <w:r w:rsidRPr="00112EF5">
        <w:rPr>
          <w:rFonts w:ascii="Times New Roman" w:eastAsia="Calibri"/>
          <w:b/>
          <w:bCs/>
          <w:sz w:val="24"/>
          <w:lang w:eastAsia="en-US"/>
        </w:rPr>
        <w:t xml:space="preserve"> contributions</w:t>
      </w:r>
    </w:p>
    <w:p w14:paraId="11A6D53B" w14:textId="76BCD71C" w:rsidR="00112EF5" w:rsidRPr="00112EF5" w:rsidRDefault="00112EF5" w:rsidP="00112EF5">
      <w:pPr>
        <w:spacing w:after="200" w:line="480" w:lineRule="auto"/>
        <w:rPr>
          <w:rFonts w:ascii="Times New Roman" w:eastAsia="Calibri"/>
          <w:bCs/>
          <w:sz w:val="24"/>
          <w:lang w:eastAsia="en-US"/>
        </w:rPr>
      </w:pPr>
      <w:r>
        <w:rPr>
          <w:rFonts w:ascii="Times New Roman" w:eastAsia="Calibri"/>
          <w:bCs/>
          <w:sz w:val="24"/>
          <w:lang w:eastAsia="en-US"/>
        </w:rPr>
        <w:lastRenderedPageBreak/>
        <w:t xml:space="preserve">Single author: </w:t>
      </w:r>
      <w:r w:rsidRPr="00112EF5">
        <w:rPr>
          <w:rFonts w:ascii="Times New Roman" w:eastAsia="Calibri"/>
          <w:bCs/>
          <w:sz w:val="24"/>
          <w:lang w:eastAsia="en-US"/>
        </w:rPr>
        <w:t>The author contributed solely to the article.</w:t>
      </w:r>
    </w:p>
    <w:p w14:paraId="2D456EA3" w14:textId="77777777" w:rsidR="00370F9E" w:rsidRDefault="00370F9E" w:rsidP="00961BE6">
      <w:pPr>
        <w:spacing w:after="200" w:line="480" w:lineRule="auto"/>
        <w:rPr>
          <w:rFonts w:ascii="Times New Roman" w:eastAsia="Calibri"/>
          <w:b/>
          <w:bCs/>
          <w:sz w:val="24"/>
          <w:lang w:eastAsia="en-US"/>
        </w:rPr>
      </w:pPr>
      <w:r w:rsidRPr="00370F9E">
        <w:rPr>
          <w:rFonts w:ascii="Times New Roman" w:eastAsia="Calibri"/>
          <w:b/>
          <w:bCs/>
          <w:sz w:val="24"/>
          <w:lang w:eastAsia="en-US"/>
        </w:rPr>
        <w:t xml:space="preserve">Availability of </w:t>
      </w:r>
      <w:proofErr w:type="gramStart"/>
      <w:r w:rsidRPr="00370F9E">
        <w:rPr>
          <w:rFonts w:ascii="Times New Roman" w:eastAsia="Calibri"/>
          <w:b/>
          <w:bCs/>
          <w:sz w:val="24"/>
          <w:lang w:eastAsia="en-US"/>
        </w:rPr>
        <w:t>data</w:t>
      </w:r>
      <w:proofErr w:type="gramEnd"/>
      <w:r w:rsidRPr="00370F9E">
        <w:rPr>
          <w:rFonts w:ascii="Times New Roman" w:eastAsia="Calibri"/>
          <w:b/>
          <w:bCs/>
          <w:sz w:val="24"/>
          <w:lang w:eastAsia="en-US"/>
        </w:rPr>
        <w:t xml:space="preserve"> and materials </w:t>
      </w:r>
    </w:p>
    <w:p w14:paraId="77FB6556" w14:textId="5BB21E42" w:rsidR="00370F9E" w:rsidRDefault="00370F9E" w:rsidP="00961BE6">
      <w:pPr>
        <w:spacing w:after="200" w:line="480" w:lineRule="auto"/>
        <w:rPr>
          <w:rFonts w:ascii="Times New Roman" w:eastAsia="Calibri"/>
          <w:bCs/>
          <w:sz w:val="24"/>
          <w:lang w:eastAsia="en-US"/>
        </w:rPr>
      </w:pPr>
      <w:r w:rsidRPr="00370F9E">
        <w:rPr>
          <w:rFonts w:ascii="Times New Roman" w:eastAsia="Calibri"/>
          <w:bCs/>
          <w:sz w:val="24"/>
          <w:lang w:eastAsia="en-US"/>
        </w:rPr>
        <w:t xml:space="preserve">The </w:t>
      </w:r>
      <w:proofErr w:type="gramStart"/>
      <w:r w:rsidRPr="00370F9E">
        <w:rPr>
          <w:rFonts w:ascii="Times New Roman" w:eastAsia="Calibri"/>
          <w:bCs/>
          <w:sz w:val="24"/>
          <w:lang w:eastAsia="en-US"/>
        </w:rPr>
        <w:t>data</w:t>
      </w:r>
      <w:proofErr w:type="gramEnd"/>
      <w:r w:rsidRPr="00370F9E">
        <w:rPr>
          <w:rFonts w:ascii="Times New Roman" w:eastAsia="Calibri"/>
          <w:bCs/>
          <w:sz w:val="24"/>
          <w:lang w:eastAsia="en-US"/>
        </w:rPr>
        <w:t xml:space="preserve"> belongs to a hospital and cannot be shared.</w:t>
      </w:r>
    </w:p>
    <w:p w14:paraId="5B3FA8E9" w14:textId="24556801" w:rsidR="00370F9E" w:rsidRDefault="00370F9E" w:rsidP="00961BE6">
      <w:pPr>
        <w:spacing w:after="200" w:line="480" w:lineRule="auto"/>
        <w:rPr>
          <w:rFonts w:ascii="Times New Roman" w:eastAsia="Calibri"/>
          <w:b/>
          <w:bCs/>
          <w:sz w:val="24"/>
          <w:lang w:eastAsia="en-US"/>
        </w:rPr>
      </w:pPr>
      <w:r w:rsidRPr="00370F9E">
        <w:rPr>
          <w:rFonts w:ascii="Times New Roman" w:eastAsia="Calibri"/>
          <w:b/>
          <w:bCs/>
          <w:sz w:val="24"/>
          <w:lang w:eastAsia="en-US"/>
        </w:rPr>
        <w:t>Financial support and sponsorship</w:t>
      </w:r>
    </w:p>
    <w:p w14:paraId="7B83ABA7" w14:textId="055D15D7" w:rsidR="00370F9E" w:rsidRPr="00370F9E" w:rsidRDefault="00370F9E" w:rsidP="00961BE6">
      <w:pPr>
        <w:spacing w:after="200" w:line="480" w:lineRule="auto"/>
        <w:rPr>
          <w:rFonts w:ascii="Times New Roman" w:eastAsia="Calibri"/>
          <w:bCs/>
          <w:sz w:val="24"/>
          <w:lang w:eastAsia="en-US"/>
        </w:rPr>
      </w:pPr>
      <w:r w:rsidRPr="00370F9E">
        <w:rPr>
          <w:rFonts w:ascii="Times New Roman" w:eastAsia="Calibri"/>
          <w:bCs/>
          <w:sz w:val="24"/>
          <w:lang w:eastAsia="en-US"/>
        </w:rPr>
        <w:t>None.</w:t>
      </w:r>
    </w:p>
    <w:p w14:paraId="2626ABBE" w14:textId="0863F184" w:rsidR="00961BE6" w:rsidRDefault="00961BE6" w:rsidP="00961BE6">
      <w:pPr>
        <w:spacing w:after="200" w:line="480" w:lineRule="auto"/>
        <w:rPr>
          <w:rFonts w:ascii="Times New Roman" w:eastAsia="Calibri"/>
          <w:b/>
          <w:bCs/>
          <w:sz w:val="24"/>
          <w:lang w:eastAsia="en-US"/>
        </w:rPr>
      </w:pPr>
      <w:r>
        <w:rPr>
          <w:rFonts w:ascii="Times New Roman" w:eastAsia="Calibri"/>
          <w:b/>
          <w:bCs/>
          <w:sz w:val="24"/>
          <w:lang w:eastAsia="en-US"/>
        </w:rPr>
        <w:t>Conflicts of Interest</w:t>
      </w:r>
    </w:p>
    <w:p w14:paraId="34975457" w14:textId="77777777" w:rsidR="00961BE6" w:rsidRDefault="00961BE6" w:rsidP="00961BE6">
      <w:pPr>
        <w:spacing w:after="200" w:line="480" w:lineRule="auto"/>
        <w:rPr>
          <w:rFonts w:ascii="Times New Roman" w:eastAsia="Calibri"/>
          <w:bCs/>
          <w:sz w:val="24"/>
          <w:lang w:eastAsia="en-US"/>
        </w:rPr>
      </w:pPr>
      <w:r>
        <w:rPr>
          <w:rFonts w:ascii="Times New Roman" w:eastAsia="Calibri"/>
          <w:bCs/>
          <w:sz w:val="24"/>
          <w:lang w:eastAsia="en-US"/>
        </w:rPr>
        <w:t>The authors have no potential conflicts of interest to disclose.</w:t>
      </w:r>
    </w:p>
    <w:p w14:paraId="5F1B896F" w14:textId="7E4642AB" w:rsidR="00370F9E" w:rsidRDefault="00370F9E" w:rsidP="00961BE6">
      <w:pPr>
        <w:spacing w:after="200" w:line="480" w:lineRule="auto"/>
        <w:rPr>
          <w:rFonts w:ascii="Times New Roman" w:eastAsia="Calibri"/>
          <w:b/>
          <w:bCs/>
          <w:sz w:val="24"/>
          <w:lang w:eastAsia="en-US"/>
        </w:rPr>
      </w:pPr>
      <w:r w:rsidRPr="00370F9E">
        <w:rPr>
          <w:rFonts w:ascii="Times New Roman" w:eastAsia="Calibri"/>
          <w:b/>
          <w:bCs/>
          <w:sz w:val="24"/>
          <w:lang w:eastAsia="en-US"/>
        </w:rPr>
        <w:t>Ethical approval and consent to participate</w:t>
      </w:r>
    </w:p>
    <w:p w14:paraId="19FA47E8" w14:textId="60A5F747" w:rsidR="00370F9E" w:rsidRDefault="00370F9E" w:rsidP="00370F9E">
      <w:pPr>
        <w:spacing w:after="200" w:line="480" w:lineRule="auto"/>
        <w:rPr>
          <w:rFonts w:ascii="Times New Roman" w:eastAsia="Calibri"/>
          <w:bCs/>
          <w:sz w:val="24"/>
          <w:lang w:eastAsia="en-US"/>
        </w:rPr>
      </w:pPr>
      <w:r w:rsidRPr="00370F9E">
        <w:rPr>
          <w:rFonts w:ascii="Times New Roman" w:eastAsia="Calibri"/>
          <w:bCs/>
          <w:sz w:val="24"/>
          <w:lang w:eastAsia="en-US"/>
        </w:rPr>
        <w:t>The study received approval from the relevant Institutional Review Board based on decision E-</w:t>
      </w:r>
      <w:proofErr w:type="gramStart"/>
      <w:r w:rsidRPr="00370F9E">
        <w:rPr>
          <w:rFonts w:ascii="Times New Roman" w:eastAsia="Calibri"/>
          <w:bCs/>
          <w:sz w:val="24"/>
          <w:lang w:eastAsia="en-US"/>
        </w:rPr>
        <w:t>25403353</w:t>
      </w:r>
      <w:proofErr w:type="gramEnd"/>
      <w:r w:rsidRPr="00370F9E">
        <w:rPr>
          <w:rFonts w:ascii="Times New Roman" w:eastAsia="Calibri"/>
          <w:bCs/>
          <w:sz w:val="24"/>
          <w:lang w:eastAsia="en-US"/>
        </w:rPr>
        <w:t>-050.99-2020 and assigned number 307.</w:t>
      </w:r>
    </w:p>
    <w:p w14:paraId="0FF25B69" w14:textId="77777777" w:rsidR="00370F9E" w:rsidRDefault="00370F9E" w:rsidP="00370F9E">
      <w:pPr>
        <w:spacing w:after="200" w:line="480" w:lineRule="auto"/>
        <w:rPr>
          <w:rFonts w:ascii="Times New Roman" w:eastAsia="Calibri"/>
          <w:b/>
          <w:bCs/>
          <w:sz w:val="24"/>
          <w:lang w:eastAsia="en-US"/>
        </w:rPr>
      </w:pPr>
      <w:r w:rsidRPr="00370F9E">
        <w:rPr>
          <w:rFonts w:ascii="Times New Roman" w:eastAsia="Calibri"/>
          <w:b/>
          <w:bCs/>
          <w:sz w:val="24"/>
          <w:lang w:eastAsia="en-US"/>
        </w:rPr>
        <w:t>Consent for publication</w:t>
      </w:r>
    </w:p>
    <w:p w14:paraId="3BEB72A8" w14:textId="5FA98D74" w:rsidR="00370F9E" w:rsidRPr="00370F9E" w:rsidRDefault="00370F9E" w:rsidP="00370F9E">
      <w:pPr>
        <w:spacing w:after="200" w:line="480" w:lineRule="auto"/>
        <w:rPr>
          <w:rFonts w:ascii="Times New Roman" w:eastAsia="Calibri"/>
          <w:b/>
          <w:bCs/>
          <w:sz w:val="24"/>
          <w:lang w:eastAsia="en-US"/>
        </w:rPr>
      </w:pPr>
      <w:bookmarkStart w:id="0" w:name="_GoBack"/>
      <w:bookmarkEnd w:id="0"/>
      <w:r w:rsidRPr="00370F9E">
        <w:rPr>
          <w:rFonts w:ascii="Times New Roman" w:eastAsia="Calibri"/>
          <w:bCs/>
          <w:sz w:val="24"/>
          <w:lang w:eastAsia="en-US"/>
        </w:rPr>
        <w:t>Not applicable</w:t>
      </w:r>
    </w:p>
    <w:p w14:paraId="2C8B6FEA" w14:textId="77777777" w:rsidR="00961BE6" w:rsidRDefault="00961BE6" w:rsidP="00961BE6">
      <w:pPr>
        <w:pStyle w:val="a"/>
        <w:wordWrap/>
        <w:adjustRightInd/>
        <w:spacing w:before="100" w:beforeAutospacing="1" w:after="100" w:afterAutospacing="1" w:line="480" w:lineRule="auto"/>
        <w:contextualSpacing/>
        <w:jc w:val="left"/>
        <w:rPr>
          <w:rFonts w:ascii="Times New Roman"/>
          <w:b/>
          <w:bCs/>
        </w:rPr>
      </w:pPr>
      <w:r>
        <w:rPr>
          <w:rFonts w:ascii="Times New Roman"/>
          <w:b/>
          <w:bCs/>
        </w:rPr>
        <w:br w:type="page"/>
      </w:r>
      <w:r>
        <w:rPr>
          <w:rFonts w:ascii="Times New Roman"/>
          <w:b/>
          <w:bCs/>
        </w:rPr>
        <w:lastRenderedPageBreak/>
        <w:t xml:space="preserve">REFERENCES </w:t>
      </w:r>
    </w:p>
    <w:p w14:paraId="7C512378"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1.Noronha IL, Santa-Catharina GP, Andrade L,</w:t>
      </w:r>
      <w:r>
        <w:rPr>
          <w:rFonts w:ascii="Times New Roman" w:eastAsia="Calibri"/>
          <w:lang w:eastAsia="en-US"/>
        </w:rPr>
        <w:t xml:space="preserve"> </w:t>
      </w:r>
      <w:r>
        <w:rPr>
          <w:rFonts w:ascii="Times New Roman" w:eastAsia="Calibri"/>
          <w:sz w:val="24"/>
          <w:lang w:eastAsia="en-US"/>
        </w:rPr>
        <w:t>Coelho VA, Jacob-Filho W,Elias RM. Glomerular filtration in the aging population. Front Med (Lausanne) 2022; 15;</w:t>
      </w:r>
      <w:proofErr w:type="gramStart"/>
      <w:r>
        <w:rPr>
          <w:rFonts w:ascii="Times New Roman" w:eastAsia="Calibri"/>
          <w:sz w:val="24"/>
          <w:lang w:eastAsia="en-US"/>
        </w:rPr>
        <w:t>9:769329</w:t>
      </w:r>
      <w:proofErr w:type="gramEnd"/>
      <w:r>
        <w:rPr>
          <w:rFonts w:ascii="Times New Roman" w:eastAsia="Calibri"/>
          <w:sz w:val="24"/>
          <w:lang w:eastAsia="en-US"/>
        </w:rPr>
        <w:t xml:space="preserve">. </w:t>
      </w:r>
    </w:p>
    <w:p w14:paraId="4FCAAD07"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2.Eriksen BO, Palsson R, Ebert N,</w:t>
      </w:r>
      <w:r>
        <w:rPr>
          <w:rFonts w:ascii="Times New Roman" w:eastAsia="Times New Roman"/>
        </w:rPr>
        <w:t xml:space="preserve"> </w:t>
      </w:r>
      <w:r>
        <w:rPr>
          <w:rFonts w:ascii="Times New Roman" w:eastAsia="Calibri"/>
          <w:sz w:val="24"/>
          <w:lang w:eastAsia="en-US"/>
        </w:rPr>
        <w:t xml:space="preserve">Van Der Giet M, Gudnason V Olafur, S Indridason et. </w:t>
      </w:r>
      <w:proofErr w:type="gramStart"/>
      <w:r>
        <w:rPr>
          <w:rFonts w:ascii="Times New Roman" w:eastAsia="Calibri"/>
          <w:sz w:val="24"/>
          <w:lang w:eastAsia="en-US"/>
        </w:rPr>
        <w:t>al</w:t>
      </w:r>
      <w:proofErr w:type="gramEnd"/>
      <w:r>
        <w:rPr>
          <w:rFonts w:ascii="Times New Roman" w:eastAsia="Calibri"/>
          <w:sz w:val="24"/>
          <w:lang w:eastAsia="en-US"/>
        </w:rPr>
        <w:t xml:space="preserve">. GFR in healthy aging: an individual participant </w:t>
      </w:r>
      <w:proofErr w:type="gramStart"/>
      <w:r>
        <w:rPr>
          <w:rFonts w:ascii="Times New Roman" w:eastAsia="Calibri"/>
          <w:sz w:val="24"/>
          <w:lang w:eastAsia="en-US"/>
        </w:rPr>
        <w:t>data</w:t>
      </w:r>
      <w:proofErr w:type="gramEnd"/>
      <w:r>
        <w:rPr>
          <w:rFonts w:ascii="Times New Roman" w:eastAsia="Calibri"/>
          <w:sz w:val="24"/>
          <w:lang w:eastAsia="en-US"/>
        </w:rPr>
        <w:t xml:space="preserve"> meta-analysis of iohexol clearance in European population-based cohorts. J Am Soc Nephrol 2020;31(7):1602-1615. </w:t>
      </w:r>
    </w:p>
    <w:p w14:paraId="2D5CB7BE"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 xml:space="preserve">3. Glassock RJ, Rule AD. Aging and the kidneys: anatomy, physiology and consequences for defining chronic kidney disease. </w:t>
      </w:r>
      <w:proofErr w:type="gramStart"/>
      <w:r>
        <w:rPr>
          <w:rFonts w:ascii="Times New Roman" w:eastAsia="Calibri"/>
          <w:sz w:val="24"/>
          <w:lang w:eastAsia="en-US"/>
        </w:rPr>
        <w:t>Nephron  2016</w:t>
      </w:r>
      <w:proofErr w:type="gramEnd"/>
      <w:r>
        <w:rPr>
          <w:rFonts w:ascii="Times New Roman" w:eastAsia="Calibri"/>
          <w:sz w:val="24"/>
          <w:lang w:eastAsia="en-US"/>
        </w:rPr>
        <w:t>;134(1):25-29.</w:t>
      </w:r>
    </w:p>
    <w:p w14:paraId="5901B177"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 xml:space="preserve">4. Schmitt R, Melk A. Molecular mechanisms of renal aging. Kidney </w:t>
      </w:r>
      <w:proofErr w:type="gramStart"/>
      <w:r>
        <w:rPr>
          <w:rFonts w:ascii="Times New Roman" w:eastAsia="Calibri"/>
          <w:sz w:val="24"/>
          <w:lang w:eastAsia="en-US"/>
        </w:rPr>
        <w:t>Int  2017</w:t>
      </w:r>
      <w:proofErr w:type="gramEnd"/>
      <w:r>
        <w:rPr>
          <w:rFonts w:ascii="Times New Roman" w:eastAsia="Calibri"/>
          <w:sz w:val="24"/>
          <w:lang w:eastAsia="en-US"/>
        </w:rPr>
        <w:t xml:space="preserve">;92(3):569-579. </w:t>
      </w:r>
    </w:p>
    <w:p w14:paraId="3101F9F9"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5. Ebert N, Jakob O, Gaedeke J,</w:t>
      </w:r>
      <w:r>
        <w:rPr>
          <w:rFonts w:ascii="Times New Roman" w:eastAsia="Times New Roman"/>
        </w:rPr>
        <w:t xml:space="preserve"> </w:t>
      </w:r>
      <w:proofErr w:type="gramStart"/>
      <w:r>
        <w:rPr>
          <w:rFonts w:ascii="Times New Roman" w:eastAsia="Calibri"/>
          <w:sz w:val="24"/>
          <w:lang w:eastAsia="en-US"/>
        </w:rPr>
        <w:t>Giet  VD</w:t>
      </w:r>
      <w:proofErr w:type="gramEnd"/>
      <w:r>
        <w:rPr>
          <w:rFonts w:ascii="Times New Roman" w:eastAsia="Calibri"/>
          <w:sz w:val="24"/>
          <w:lang w:eastAsia="en-US"/>
        </w:rPr>
        <w:t xml:space="preserve">. Prevalence of reduced kidney function and albuminuria in older adults: The Berlin initiative study. Nephrol Dial Transplant (2017) </w:t>
      </w:r>
      <w:proofErr w:type="gramStart"/>
      <w:r>
        <w:rPr>
          <w:rFonts w:ascii="Times New Roman" w:eastAsia="Calibri"/>
          <w:sz w:val="24"/>
          <w:lang w:eastAsia="en-US"/>
        </w:rPr>
        <w:t>32:997</w:t>
      </w:r>
      <w:proofErr w:type="gramEnd"/>
      <w:r>
        <w:rPr>
          <w:rFonts w:ascii="Times New Roman" w:eastAsia="Calibri"/>
          <w:sz w:val="24"/>
          <w:lang w:eastAsia="en-US"/>
        </w:rPr>
        <w:t>–</w:t>
      </w:r>
      <w:r>
        <w:rPr>
          <w:rFonts w:ascii="Times New Roman" w:eastAsia="Calibri"/>
          <w:sz w:val="24"/>
          <w:lang w:eastAsia="en-US"/>
        </w:rPr>
        <w:t xml:space="preserve">1005. </w:t>
      </w:r>
    </w:p>
    <w:p w14:paraId="33DF93D5"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6.Fravel MA, Ernst ME, Webb KL,</w:t>
      </w:r>
      <w:r>
        <w:rPr>
          <w:rFonts w:hint="eastAsia"/>
        </w:rPr>
        <w:t xml:space="preserve"> </w:t>
      </w:r>
      <w:r>
        <w:rPr>
          <w:rFonts w:ascii="Times New Roman" w:eastAsia="Calibri"/>
          <w:sz w:val="24"/>
          <w:lang w:eastAsia="en-US"/>
        </w:rPr>
        <w:t xml:space="preserve">Wetmore JB, Wolfe R, Woods RL </w:t>
      </w:r>
      <w:proofErr w:type="gramStart"/>
      <w:r>
        <w:rPr>
          <w:rFonts w:ascii="Times New Roman" w:eastAsia="Calibri"/>
          <w:sz w:val="24"/>
          <w:lang w:eastAsia="en-US"/>
        </w:rPr>
        <w:t>et.al</w:t>
      </w:r>
      <w:proofErr w:type="gramEnd"/>
      <w:r>
        <w:rPr>
          <w:rFonts w:ascii="Times New Roman" w:eastAsia="Calibri"/>
          <w:sz w:val="24"/>
          <w:lang w:eastAsia="en-US"/>
        </w:rPr>
        <w:t>. Aspirin in Reducing Events in the Elderly Investigator Group. GFR Variability, Survival, and Cardiovascular Events in Older Adults. Kidney Med 2022, 5(2):100583.</w:t>
      </w:r>
    </w:p>
    <w:p w14:paraId="23372C12"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7. Wu J, Jia J, Li Z,</w:t>
      </w:r>
      <w:r>
        <w:rPr>
          <w:rFonts w:hint="eastAsia"/>
        </w:rPr>
        <w:t xml:space="preserve"> </w:t>
      </w:r>
      <w:r>
        <w:rPr>
          <w:rFonts w:ascii="Times New Roman" w:eastAsia="Calibri"/>
          <w:sz w:val="24"/>
          <w:lang w:eastAsia="en-US"/>
        </w:rPr>
        <w:t xml:space="preserve">Pan H, Wang A, Guo X </w:t>
      </w:r>
      <w:proofErr w:type="gramStart"/>
      <w:r>
        <w:rPr>
          <w:rFonts w:ascii="Times New Roman" w:eastAsia="Calibri"/>
          <w:sz w:val="24"/>
          <w:lang w:eastAsia="en-US"/>
        </w:rPr>
        <w:t>et.al</w:t>
      </w:r>
      <w:proofErr w:type="gramEnd"/>
      <w:r>
        <w:rPr>
          <w:rFonts w:ascii="Times New Roman" w:eastAsia="Calibri"/>
          <w:sz w:val="24"/>
          <w:lang w:eastAsia="en-US"/>
        </w:rPr>
        <w:t>. Association of estimated glomerular filtration rate and proteinuria with all-cause mortality in community-based population in China: a result from Kailuan study. Sci Rep 2018;</w:t>
      </w:r>
      <w:proofErr w:type="gramStart"/>
      <w:r>
        <w:rPr>
          <w:rFonts w:ascii="Times New Roman" w:eastAsia="Calibri"/>
          <w:sz w:val="24"/>
          <w:lang w:eastAsia="en-US"/>
        </w:rPr>
        <w:t>8:2157</w:t>
      </w:r>
      <w:proofErr w:type="gramEnd"/>
      <w:r>
        <w:rPr>
          <w:rFonts w:ascii="Times New Roman" w:eastAsia="Calibri"/>
          <w:sz w:val="24"/>
          <w:lang w:eastAsia="en-US"/>
        </w:rPr>
        <w:t>.</w:t>
      </w:r>
    </w:p>
    <w:p w14:paraId="16A27247"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lastRenderedPageBreak/>
        <w:t>8.</w:t>
      </w:r>
      <w:r>
        <w:rPr>
          <w:rFonts w:ascii="Times New Roman" w:eastAsia="Calibri"/>
          <w:color w:val="222222"/>
          <w:sz w:val="24"/>
          <w:shd w:val="clear" w:color="auto" w:fill="FFFFFF"/>
          <w:lang w:eastAsia="en-US"/>
        </w:rPr>
        <w:t xml:space="preserve"> </w:t>
      </w:r>
      <w:r>
        <w:rPr>
          <w:rFonts w:ascii="Times New Roman" w:eastAsia="Calibri"/>
          <w:sz w:val="24"/>
          <w:lang w:eastAsia="en-US"/>
        </w:rPr>
        <w:t>Fung CS, Wan EY, Chan AK,</w:t>
      </w:r>
      <w:r>
        <w:rPr>
          <w:rFonts w:hint="eastAsia"/>
        </w:rPr>
        <w:t xml:space="preserve"> </w:t>
      </w:r>
      <w:r>
        <w:rPr>
          <w:rFonts w:ascii="Times New Roman" w:eastAsia="Calibri"/>
          <w:sz w:val="24"/>
          <w:lang w:eastAsia="en-US"/>
        </w:rPr>
        <w:t>Lam CL. Association of estimated glomerular filtration rate and urine albumin-to-creatinine ratio with incidence of cardiovascular diseases and mortality in chinese patients with type 2 diabetes mellitus - a population-based retrospective cohort study.</w:t>
      </w:r>
      <w:r>
        <w:rPr>
          <w:rFonts w:ascii="Times New Roman" w:eastAsia="Calibri"/>
          <w:sz w:val="24"/>
          <w:lang w:eastAsia="en-US"/>
        </w:rPr>
        <w:t> </w:t>
      </w:r>
      <w:r>
        <w:rPr>
          <w:rFonts w:ascii="Times New Roman" w:eastAsia="Calibri"/>
          <w:iCs/>
          <w:sz w:val="24"/>
          <w:lang w:eastAsia="en-US"/>
        </w:rPr>
        <w:t>BMC</w:t>
      </w:r>
      <w:r>
        <w:rPr>
          <w:rFonts w:ascii="Times New Roman" w:eastAsia="Calibri"/>
          <w:i/>
          <w:iCs/>
          <w:sz w:val="24"/>
          <w:lang w:eastAsia="en-US"/>
        </w:rPr>
        <w:t xml:space="preserve"> </w:t>
      </w:r>
      <w:r>
        <w:rPr>
          <w:rFonts w:ascii="Times New Roman" w:eastAsia="Calibri"/>
          <w:iCs/>
          <w:sz w:val="24"/>
          <w:lang w:eastAsia="en-US"/>
        </w:rPr>
        <w:t>nephrology 2017;</w:t>
      </w:r>
      <w:r>
        <w:rPr>
          <w:rFonts w:ascii="Times New Roman" w:eastAsia="Calibri"/>
          <w:sz w:val="24"/>
          <w:lang w:eastAsia="en-US"/>
        </w:rPr>
        <w:t> </w:t>
      </w:r>
      <w:r>
        <w:rPr>
          <w:rFonts w:ascii="Times New Roman" w:eastAsia="Calibri"/>
          <w:sz w:val="24"/>
          <w:lang w:eastAsia="en-US"/>
        </w:rPr>
        <w:t>18(1):47.</w:t>
      </w:r>
    </w:p>
    <w:p w14:paraId="7106C90F"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9.</w:t>
      </w:r>
      <w:r>
        <w:rPr>
          <w:rFonts w:ascii="Times New Roman" w:eastAsia="Calibri"/>
          <w:color w:val="222222"/>
          <w:sz w:val="24"/>
          <w:shd w:val="clear" w:color="auto" w:fill="FFFFFF"/>
          <w:lang w:eastAsia="en-US"/>
        </w:rPr>
        <w:t xml:space="preserve"> </w:t>
      </w:r>
      <w:r>
        <w:rPr>
          <w:rFonts w:ascii="Times New Roman" w:eastAsia="Calibri"/>
          <w:sz w:val="24"/>
          <w:lang w:eastAsia="en-US"/>
        </w:rPr>
        <w:t xml:space="preserve">Wan EYF, Fong DYT, Fung CSC, Yu EYT, Chin WY, Chan AKC </w:t>
      </w:r>
      <w:proofErr w:type="gramStart"/>
      <w:r>
        <w:rPr>
          <w:rFonts w:ascii="Times New Roman" w:eastAsia="Calibri"/>
          <w:sz w:val="24"/>
          <w:lang w:eastAsia="en-US"/>
        </w:rPr>
        <w:t>et.al</w:t>
      </w:r>
      <w:proofErr w:type="gramEnd"/>
      <w:r>
        <w:rPr>
          <w:rFonts w:ascii="Times New Roman" w:eastAsia="Calibri"/>
          <w:sz w:val="24"/>
          <w:lang w:eastAsia="en-US"/>
        </w:rPr>
        <w:t>. Prediction of five-year all-cause mortality in Chinese patients with type 2 diabetes mellitus - A population-based retrospective cohort study.</w:t>
      </w:r>
      <w:r>
        <w:rPr>
          <w:rFonts w:ascii="Times New Roman" w:eastAsia="Calibri"/>
          <w:sz w:val="24"/>
          <w:lang w:eastAsia="en-US"/>
        </w:rPr>
        <w:t> </w:t>
      </w:r>
      <w:r>
        <w:rPr>
          <w:rFonts w:ascii="Times New Roman" w:eastAsia="Calibri"/>
          <w:iCs/>
          <w:sz w:val="24"/>
          <w:lang w:eastAsia="en-US"/>
        </w:rPr>
        <w:t>Journal of diabetes and its complications 2017;</w:t>
      </w:r>
      <w:r>
        <w:rPr>
          <w:rFonts w:ascii="Segoe UI" w:eastAsia="Calibri" w:hAnsi="Segoe UI" w:cs="Segoe UI"/>
          <w:color w:val="5B616B"/>
          <w:shd w:val="clear" w:color="auto" w:fill="FFFFFF"/>
          <w:lang w:eastAsia="en-US"/>
        </w:rPr>
        <w:t xml:space="preserve"> </w:t>
      </w:r>
      <w:r>
        <w:rPr>
          <w:rFonts w:ascii="Times New Roman" w:eastAsia="Calibri"/>
          <w:iCs/>
          <w:sz w:val="24"/>
          <w:lang w:eastAsia="en-US"/>
        </w:rPr>
        <w:t>31(6):939-944.</w:t>
      </w:r>
      <w:r>
        <w:rPr>
          <w:rFonts w:ascii="Times New Roman" w:eastAsia="Calibri"/>
          <w:sz w:val="24"/>
          <w:lang w:eastAsia="en-US"/>
        </w:rPr>
        <w:t> </w:t>
      </w:r>
    </w:p>
    <w:p w14:paraId="2C5C384A" w14:textId="77777777" w:rsidR="00961BE6" w:rsidRDefault="00961BE6" w:rsidP="00961BE6">
      <w:pPr>
        <w:spacing w:after="200" w:line="480" w:lineRule="auto"/>
        <w:rPr>
          <w:rFonts w:ascii="Times New Roman" w:eastAsia="Calibri"/>
          <w:bCs/>
          <w:sz w:val="24"/>
          <w:lang w:eastAsia="en-US"/>
        </w:rPr>
      </w:pPr>
      <w:r>
        <w:rPr>
          <w:rFonts w:ascii="Times New Roman" w:eastAsia="Calibri"/>
          <w:sz w:val="24"/>
          <w:lang w:eastAsia="en-US"/>
        </w:rPr>
        <w:t>10.</w:t>
      </w:r>
      <w:r>
        <w:rPr>
          <w:rFonts w:ascii="Times New Roman" w:eastAsia="Calibri"/>
          <w:color w:val="222222"/>
          <w:sz w:val="24"/>
          <w:shd w:val="clear" w:color="auto" w:fill="FFFFFF"/>
          <w:lang w:eastAsia="en-US"/>
        </w:rPr>
        <w:t xml:space="preserve"> </w:t>
      </w:r>
      <w:r>
        <w:rPr>
          <w:rFonts w:ascii="Times New Roman" w:eastAsia="Calibri"/>
          <w:sz w:val="24"/>
          <w:lang w:eastAsia="en-US"/>
        </w:rPr>
        <w:t>Park M, Yoon E, Lim YH,</w:t>
      </w:r>
      <w:r>
        <w:rPr>
          <w:rFonts w:ascii="Times New Roman"/>
        </w:rPr>
        <w:t xml:space="preserve"> Kim H, Choi J, Yoon HJ</w:t>
      </w:r>
      <w:r>
        <w:rPr>
          <w:rFonts w:ascii="Times New Roman" w:eastAsia="Calibri"/>
          <w:iCs/>
          <w:sz w:val="24"/>
          <w:lang w:eastAsia="en-US"/>
        </w:rPr>
        <w:t xml:space="preserve">. </w:t>
      </w:r>
      <w:r>
        <w:rPr>
          <w:rFonts w:ascii="Times New Roman" w:eastAsia="Calibri"/>
          <w:sz w:val="24"/>
          <w:lang w:eastAsia="en-US"/>
        </w:rPr>
        <w:t>Renal hyperfiltration as a novel marker of all-cause mortality.</w:t>
      </w:r>
      <w:r>
        <w:rPr>
          <w:rFonts w:ascii="Times New Roman" w:eastAsia="Calibri"/>
          <w:sz w:val="24"/>
          <w:lang w:eastAsia="en-US"/>
        </w:rPr>
        <w:t> </w:t>
      </w:r>
      <w:r>
        <w:rPr>
          <w:rFonts w:ascii="Times New Roman" w:eastAsia="Calibri"/>
          <w:iCs/>
          <w:sz w:val="24"/>
          <w:lang w:eastAsia="en-US"/>
        </w:rPr>
        <w:t xml:space="preserve">Journal of the American Society of Nephrology: JASN </w:t>
      </w:r>
      <w:proofErr w:type="gramStart"/>
      <w:r>
        <w:rPr>
          <w:rFonts w:ascii="Times New Roman" w:eastAsia="Calibri"/>
          <w:iCs/>
          <w:sz w:val="24"/>
          <w:lang w:eastAsia="en-US"/>
        </w:rPr>
        <w:t>2015 ;26</w:t>
      </w:r>
      <w:proofErr w:type="gramEnd"/>
      <w:r>
        <w:rPr>
          <w:rFonts w:ascii="Times New Roman" w:eastAsia="Calibri"/>
          <w:iCs/>
          <w:sz w:val="24"/>
          <w:lang w:eastAsia="en-US"/>
        </w:rPr>
        <w:t>(6):1426-33.</w:t>
      </w:r>
      <w:r>
        <w:rPr>
          <w:rFonts w:ascii="Times New Roman" w:eastAsia="Calibri"/>
          <w:sz w:val="24"/>
          <w:lang w:eastAsia="en-US"/>
        </w:rPr>
        <w:t> </w:t>
      </w:r>
    </w:p>
    <w:p w14:paraId="68E841AD"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 xml:space="preserve"> 11.WHO Consultation on Obesity World Health Organization.</w:t>
      </w:r>
      <w:r>
        <w:rPr>
          <w:rFonts w:ascii="Times New Roman" w:eastAsia="Calibri"/>
          <w:sz w:val="24"/>
          <w:lang w:eastAsia="en-US"/>
        </w:rPr>
        <w:t> </w:t>
      </w:r>
      <w:r>
        <w:rPr>
          <w:rFonts w:ascii="Times New Roman" w:eastAsia="Calibri"/>
          <w:sz w:val="24"/>
          <w:lang w:eastAsia="en-US"/>
        </w:rPr>
        <w:t xml:space="preserve">Obesity: preventing and managing the </w:t>
      </w:r>
      <w:proofErr w:type="gramStart"/>
      <w:r>
        <w:rPr>
          <w:rFonts w:ascii="Times New Roman" w:eastAsia="Calibri"/>
          <w:sz w:val="24"/>
          <w:lang w:eastAsia="en-US"/>
        </w:rPr>
        <w:t>global</w:t>
      </w:r>
      <w:proofErr w:type="gramEnd"/>
      <w:r>
        <w:rPr>
          <w:rFonts w:ascii="Times New Roman" w:eastAsia="Calibri"/>
          <w:sz w:val="24"/>
          <w:lang w:eastAsia="en-US"/>
        </w:rPr>
        <w:t xml:space="preserve"> epidemic: report of a WHO consultation.</w:t>
      </w:r>
      <w:r>
        <w:rPr>
          <w:rFonts w:ascii="Times New Roman" w:eastAsia="Calibri"/>
          <w:sz w:val="24"/>
          <w:lang w:eastAsia="en-US"/>
        </w:rPr>
        <w:t> </w:t>
      </w:r>
      <w:r>
        <w:rPr>
          <w:rFonts w:ascii="Times New Roman" w:eastAsia="Calibri"/>
          <w:sz w:val="24"/>
          <w:lang w:eastAsia="en-US"/>
        </w:rPr>
        <w:t>2023.</w:t>
      </w:r>
      <w:r>
        <w:rPr>
          <w:rFonts w:ascii="Times New Roman" w:eastAsia="Calibri"/>
          <w:sz w:val="24"/>
          <w:lang w:eastAsia="en-US"/>
        </w:rPr>
        <w:t> </w:t>
      </w:r>
      <w:r>
        <w:rPr>
          <w:rFonts w:ascii="Times New Roman" w:eastAsia="Calibri"/>
          <w:sz w:val="24"/>
          <w:lang w:eastAsia="en-US"/>
        </w:rPr>
        <w:t>Available:</w:t>
      </w:r>
      <w:r>
        <w:rPr>
          <w:rFonts w:ascii="Times New Roman" w:eastAsia="Calibri"/>
          <w:sz w:val="24"/>
          <w:lang w:eastAsia="en-US"/>
        </w:rPr>
        <w:t> </w:t>
      </w:r>
      <w:hyperlink w:history="1">
        <w:r>
          <w:rPr>
            <w:rFonts w:ascii="Times New Roman" w:eastAsia="Calibri"/>
            <w:sz w:val="24"/>
            <w:lang w:eastAsia="en-US"/>
          </w:rPr>
          <w:t>https:// apps.who.int/iris/handle/10665/42330</w:t>
        </w:r>
      </w:hyperlink>
      <w:r>
        <w:rPr>
          <w:rFonts w:ascii="Times New Roman" w:eastAsia="Calibri"/>
          <w:sz w:val="24"/>
          <w:lang w:eastAsia="en-US"/>
        </w:rPr>
        <w:t>.</w:t>
      </w:r>
    </w:p>
    <w:p w14:paraId="312C7F09"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12.</w:t>
      </w:r>
      <w:r>
        <w:rPr>
          <w:rFonts w:ascii="Times New Roman" w:eastAsia="Times New Roman"/>
          <w:sz w:val="24"/>
        </w:rPr>
        <w:t xml:space="preserve"> </w:t>
      </w:r>
      <w:r>
        <w:rPr>
          <w:rFonts w:ascii="Times New Roman" w:eastAsia="Calibri"/>
          <w:sz w:val="24"/>
          <w:lang w:eastAsia="en-US"/>
        </w:rPr>
        <w:t>Levey</w:t>
      </w:r>
      <w:r>
        <w:rPr>
          <w:rFonts w:ascii="Times New Roman" w:eastAsia="Calibri"/>
          <w:sz w:val="24"/>
          <w:lang w:eastAsia="en-US"/>
        </w:rPr>
        <w:t> </w:t>
      </w:r>
      <w:r>
        <w:rPr>
          <w:rFonts w:ascii="Times New Roman" w:eastAsia="Calibri"/>
          <w:sz w:val="24"/>
          <w:lang w:eastAsia="en-US"/>
        </w:rPr>
        <w:t>AS,</w:t>
      </w:r>
      <w:r>
        <w:rPr>
          <w:rFonts w:ascii="Times New Roman" w:eastAsia="Calibri"/>
          <w:sz w:val="24"/>
          <w:lang w:eastAsia="en-US"/>
        </w:rPr>
        <w:t> </w:t>
      </w:r>
      <w:r>
        <w:rPr>
          <w:rFonts w:ascii="Times New Roman" w:eastAsia="Calibri"/>
          <w:sz w:val="24"/>
          <w:lang w:eastAsia="en-US"/>
        </w:rPr>
        <w:t>Bosch</w:t>
      </w:r>
      <w:r>
        <w:rPr>
          <w:rFonts w:ascii="Times New Roman" w:eastAsia="Calibri"/>
          <w:sz w:val="24"/>
          <w:lang w:eastAsia="en-US"/>
        </w:rPr>
        <w:t> </w:t>
      </w:r>
      <w:r>
        <w:rPr>
          <w:rFonts w:ascii="Times New Roman" w:eastAsia="Calibri"/>
          <w:sz w:val="24"/>
          <w:lang w:eastAsia="en-US"/>
        </w:rPr>
        <w:t>JP,</w:t>
      </w:r>
      <w:r>
        <w:rPr>
          <w:rFonts w:ascii="Times New Roman" w:eastAsia="Calibri"/>
          <w:sz w:val="24"/>
          <w:lang w:eastAsia="en-US"/>
        </w:rPr>
        <w:t> </w:t>
      </w:r>
      <w:r>
        <w:rPr>
          <w:rFonts w:ascii="Times New Roman" w:eastAsia="Calibri"/>
          <w:sz w:val="24"/>
          <w:lang w:eastAsia="en-US"/>
        </w:rPr>
        <w:t>Lewis</w:t>
      </w:r>
      <w:r>
        <w:rPr>
          <w:rFonts w:ascii="Times New Roman" w:eastAsia="Calibri"/>
          <w:sz w:val="24"/>
          <w:lang w:eastAsia="en-US"/>
        </w:rPr>
        <w:t> </w:t>
      </w:r>
      <w:r>
        <w:rPr>
          <w:rFonts w:ascii="Times New Roman" w:eastAsia="Calibri"/>
          <w:sz w:val="24"/>
          <w:lang w:eastAsia="en-US"/>
        </w:rPr>
        <w:t>JB,</w:t>
      </w:r>
      <w:r>
        <w:rPr>
          <w:rFonts w:ascii="Times New Roman"/>
        </w:rPr>
        <w:t xml:space="preserve"> Greene T, Rogers N, Roth D</w:t>
      </w:r>
      <w:r>
        <w:rPr>
          <w:rFonts w:ascii="Times New Roman" w:eastAsia="Calibri"/>
          <w:sz w:val="24"/>
          <w:lang w:eastAsia="en-US"/>
        </w:rPr>
        <w:t>. A more accurate method to estimate glomerular filtration rate from serum creatinine: a new prediction equation. modification of diet in renal disease study group.</w:t>
      </w:r>
      <w:r>
        <w:rPr>
          <w:rFonts w:ascii="Times New Roman" w:eastAsia="Calibri"/>
          <w:sz w:val="24"/>
          <w:lang w:eastAsia="en-US"/>
        </w:rPr>
        <w:t> </w:t>
      </w:r>
      <w:r>
        <w:rPr>
          <w:rFonts w:ascii="Times New Roman" w:eastAsia="Calibri"/>
          <w:sz w:val="24"/>
          <w:lang w:eastAsia="en-US"/>
        </w:rPr>
        <w:t>Ann Intern Med</w:t>
      </w:r>
      <w:r>
        <w:rPr>
          <w:rFonts w:ascii="Times New Roman" w:eastAsia="Calibri"/>
          <w:sz w:val="24"/>
          <w:lang w:eastAsia="en-US"/>
        </w:rPr>
        <w:t> </w:t>
      </w:r>
      <w:r>
        <w:rPr>
          <w:rFonts w:ascii="Times New Roman" w:eastAsia="Calibri"/>
          <w:sz w:val="24"/>
          <w:lang w:eastAsia="en-US"/>
        </w:rPr>
        <w:t>1999;</w:t>
      </w:r>
      <w:r>
        <w:rPr>
          <w:rFonts w:ascii="Times New Roman" w:eastAsia="Calibri"/>
          <w:bCs/>
          <w:sz w:val="24"/>
          <w:lang w:eastAsia="en-US"/>
        </w:rPr>
        <w:t>130</w:t>
      </w:r>
      <w:r>
        <w:rPr>
          <w:rFonts w:ascii="Times New Roman" w:eastAsia="Calibri"/>
          <w:sz w:val="24"/>
          <w:lang w:eastAsia="en-US"/>
        </w:rPr>
        <w:t>:461</w:t>
      </w:r>
      <w:r>
        <w:rPr>
          <w:rFonts w:ascii="Times New Roman" w:eastAsia="Calibri"/>
          <w:sz w:val="24"/>
          <w:lang w:eastAsia="en-US"/>
        </w:rPr>
        <w:t>–</w:t>
      </w:r>
      <w:r>
        <w:rPr>
          <w:rFonts w:ascii="Times New Roman" w:eastAsia="Calibri"/>
          <w:sz w:val="24"/>
          <w:lang w:eastAsia="en-US"/>
        </w:rPr>
        <w:t>70.</w:t>
      </w:r>
      <w:r>
        <w:rPr>
          <w:rFonts w:ascii="Times New Roman" w:eastAsia="Calibri"/>
          <w:sz w:val="24"/>
          <w:lang w:eastAsia="en-US"/>
        </w:rPr>
        <w:t> </w:t>
      </w:r>
      <w:r>
        <w:rPr>
          <w:rFonts w:ascii="Times New Roman" w:eastAsia="Calibri"/>
          <w:sz w:val="24"/>
          <w:lang w:eastAsia="en-US"/>
        </w:rPr>
        <w:t xml:space="preserve"> </w:t>
      </w:r>
    </w:p>
    <w:p w14:paraId="13125969" w14:textId="77777777" w:rsidR="00961BE6" w:rsidRDefault="00961BE6" w:rsidP="00961BE6">
      <w:pPr>
        <w:spacing w:after="200" w:line="480" w:lineRule="auto"/>
        <w:rPr>
          <w:rFonts w:ascii="Times New Roman" w:eastAsia="Calibri"/>
          <w:b/>
          <w:bCs/>
          <w:sz w:val="24"/>
          <w:shd w:val="clear" w:color="auto" w:fill="FFFFFF"/>
          <w:lang w:eastAsia="en-US"/>
        </w:rPr>
      </w:pPr>
      <w:r>
        <w:rPr>
          <w:rFonts w:ascii="Times New Roman" w:eastAsia="Calibri"/>
          <w:bCs/>
          <w:sz w:val="24"/>
          <w:shd w:val="clear" w:color="auto" w:fill="FFFFFF"/>
          <w:lang w:eastAsia="en-US"/>
        </w:rPr>
        <w:t>13.</w:t>
      </w:r>
      <w:r>
        <w:rPr>
          <w:rFonts w:ascii="Times New Roman" w:eastAsia="Calibri"/>
          <w:bCs/>
          <w:sz w:val="24"/>
          <w:shd w:val="clear" w:color="auto" w:fill="FFFFFF"/>
          <w:lang w:eastAsia="en-US"/>
        </w:rPr>
        <w:t> </w:t>
      </w:r>
      <w:r>
        <w:rPr>
          <w:rFonts w:ascii="Times New Roman" w:eastAsia="Calibri"/>
          <w:bCs/>
          <w:sz w:val="24"/>
          <w:shd w:val="clear" w:color="auto" w:fill="FFFFFF"/>
          <w:lang w:eastAsia="en-US"/>
        </w:rPr>
        <w:t>Delanaye P, Schaeffner E, Ebert N,</w:t>
      </w:r>
      <w:r>
        <w:rPr>
          <w:rFonts w:hint="eastAsia"/>
        </w:rPr>
        <w:t xml:space="preserve"> </w:t>
      </w:r>
      <w:r>
        <w:rPr>
          <w:rFonts w:ascii="Times New Roman" w:eastAsia="Calibri"/>
          <w:bCs/>
          <w:sz w:val="24"/>
          <w:shd w:val="clear" w:color="auto" w:fill="FFFFFF"/>
          <w:lang w:eastAsia="en-US"/>
        </w:rPr>
        <w:t>Mariat C, Krzesinski JM, Moranne O.</w:t>
      </w:r>
      <w:r>
        <w:rPr>
          <w:rFonts w:ascii="Times New Roman" w:eastAsia="Calibri"/>
          <w:bCs/>
          <w:sz w:val="24"/>
          <w:shd w:val="clear" w:color="auto" w:fill="FFFFFF"/>
          <w:lang w:eastAsia="en-US"/>
        </w:rPr>
        <w:t> </w:t>
      </w:r>
      <w:r>
        <w:rPr>
          <w:rFonts w:ascii="Times New Roman" w:eastAsia="Calibri"/>
          <w:bCs/>
          <w:sz w:val="24"/>
          <w:shd w:val="clear" w:color="auto" w:fill="FFFFFF"/>
          <w:lang w:eastAsia="en-US"/>
        </w:rPr>
        <w:t>Normal reference values for glomerular filtration rate: What do we really know?</w:t>
      </w:r>
      <w:r>
        <w:rPr>
          <w:rFonts w:ascii="Times New Roman" w:eastAsia="Calibri"/>
          <w:bCs/>
          <w:sz w:val="24"/>
          <w:shd w:val="clear" w:color="auto" w:fill="FFFFFF"/>
          <w:lang w:eastAsia="en-US"/>
        </w:rPr>
        <w:t> </w:t>
      </w:r>
      <w:r>
        <w:rPr>
          <w:rFonts w:ascii="Times New Roman" w:eastAsia="Calibri"/>
          <w:bCs/>
          <w:iCs/>
          <w:sz w:val="24"/>
          <w:shd w:val="clear" w:color="auto" w:fill="FFFFFF"/>
          <w:lang w:eastAsia="en-US"/>
        </w:rPr>
        <w:t>Nephrol Dial Transplan</w:t>
      </w:r>
      <w:r>
        <w:rPr>
          <w:rFonts w:ascii="Segoe UI" w:eastAsia="Calibri" w:hAnsi="Segoe UI" w:cs="Segoe UI"/>
          <w:color w:val="5B616B"/>
          <w:shd w:val="clear" w:color="auto" w:fill="FFFFFF"/>
          <w:lang w:eastAsia="en-US"/>
        </w:rPr>
        <w:t xml:space="preserve"> </w:t>
      </w:r>
      <w:r>
        <w:rPr>
          <w:rFonts w:ascii="Times New Roman" w:eastAsia="Calibri"/>
          <w:bCs/>
          <w:iCs/>
          <w:sz w:val="24"/>
          <w:shd w:val="clear" w:color="auto" w:fill="FFFFFF"/>
          <w:lang w:eastAsia="en-US"/>
        </w:rPr>
        <w:t>27(7):2664-72.</w:t>
      </w:r>
    </w:p>
    <w:p w14:paraId="41FCBC27" w14:textId="77777777" w:rsidR="00961BE6" w:rsidRDefault="00961BE6" w:rsidP="00961BE6">
      <w:pPr>
        <w:spacing w:after="200" w:line="480" w:lineRule="auto"/>
        <w:rPr>
          <w:rFonts w:ascii="Times New Roman" w:eastAsia="Calibri"/>
          <w:bCs/>
          <w:iCs/>
          <w:sz w:val="24"/>
          <w:lang w:eastAsia="en-US"/>
        </w:rPr>
      </w:pPr>
      <w:r>
        <w:rPr>
          <w:rFonts w:ascii="Times New Roman" w:eastAsia="Calibri"/>
          <w:sz w:val="24"/>
          <w:lang w:eastAsia="en-US"/>
        </w:rPr>
        <w:lastRenderedPageBreak/>
        <w:t>14.</w:t>
      </w:r>
      <w:r>
        <w:rPr>
          <w:rFonts w:ascii="Times New Roman" w:eastAsia="Times New Roman"/>
          <w:iCs/>
          <w:color w:val="333333"/>
          <w:sz w:val="24"/>
          <w:bdr w:val="none" w:sz="0" w:space="0" w:color="auto" w:frame="1"/>
        </w:rPr>
        <w:t xml:space="preserve"> </w:t>
      </w:r>
      <w:r>
        <w:rPr>
          <w:rFonts w:ascii="Times New Roman" w:eastAsia="Calibri"/>
          <w:iCs/>
          <w:sz w:val="24"/>
          <w:lang w:eastAsia="en-US"/>
        </w:rPr>
        <w:t>Ellam T, Twohig H, Khwaja A.</w:t>
      </w:r>
      <w:r>
        <w:rPr>
          <w:rFonts w:ascii="Times New Roman" w:eastAsia="Times New Roman"/>
          <w:color w:val="333333"/>
          <w:kern w:val="36"/>
          <w:sz w:val="24"/>
        </w:rPr>
        <w:t xml:space="preserve"> </w:t>
      </w:r>
      <w:r>
        <w:rPr>
          <w:rFonts w:ascii="Times New Roman" w:eastAsia="Calibri"/>
          <w:bCs/>
          <w:iCs/>
          <w:sz w:val="24"/>
          <w:lang w:eastAsia="en-US"/>
        </w:rPr>
        <w:t>Chronic kidney disease in elderly people: disease or disease label? BMJ</w:t>
      </w:r>
      <w:r>
        <w:rPr>
          <w:rFonts w:ascii="Times New Roman" w:eastAsia="Calibri"/>
          <w:bCs/>
          <w:iCs/>
          <w:sz w:val="24"/>
          <w:lang w:eastAsia="en-US"/>
        </w:rPr>
        <w:t> </w:t>
      </w:r>
      <w:r>
        <w:rPr>
          <w:rFonts w:ascii="Times New Roman" w:eastAsia="Calibri"/>
          <w:bCs/>
          <w:iCs/>
          <w:sz w:val="24"/>
          <w:lang w:eastAsia="en-US"/>
        </w:rPr>
        <w:t xml:space="preserve">2016;352:h6559. </w:t>
      </w:r>
    </w:p>
    <w:p w14:paraId="17CB080D"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 xml:space="preserve"> 15. O'Hare AM, Rodriguez RA, Rule AD. Overdiagnosis of chronic kidney disease in older adults</w:t>
      </w:r>
      <w:r>
        <w:rPr>
          <w:rFonts w:ascii="Times New Roman" w:eastAsia="Calibri"/>
          <w:sz w:val="24"/>
          <w:lang w:eastAsia="en-US"/>
        </w:rPr>
        <w:t>—</w:t>
      </w:r>
      <w:r>
        <w:rPr>
          <w:rFonts w:ascii="Times New Roman" w:eastAsia="Calibri"/>
          <w:sz w:val="24"/>
          <w:lang w:eastAsia="en-US"/>
        </w:rPr>
        <w:t>an inconvenient truth. JAMA Intern Med 2021; 181(10):1366-1368.</w:t>
      </w:r>
    </w:p>
    <w:p w14:paraId="63009311"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16. Winearls CG, Glassock RJ. Classification of chronic kidney disease in the elderly: pitfalls and errors. Nephron Clin Pract 2011;119(1):c2-4.</w:t>
      </w:r>
    </w:p>
    <w:p w14:paraId="2816E3CB"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 xml:space="preserve">17. Liu P, Quinn RR, Lam NN, Elliott MJ, Xu Y, James MT </w:t>
      </w:r>
      <w:proofErr w:type="gramStart"/>
      <w:r>
        <w:rPr>
          <w:rFonts w:ascii="Times New Roman" w:eastAsia="Calibri"/>
          <w:sz w:val="24"/>
          <w:lang w:eastAsia="en-US"/>
        </w:rPr>
        <w:t>et.al</w:t>
      </w:r>
      <w:proofErr w:type="gramEnd"/>
      <w:r>
        <w:rPr>
          <w:rFonts w:ascii="Times New Roman" w:eastAsia="Calibri"/>
          <w:sz w:val="24"/>
          <w:lang w:eastAsia="en-US"/>
        </w:rPr>
        <w:t>. Accounting for age in the definition of chronic kidney disease. JAMA Intern Med 2021;181:1359</w:t>
      </w:r>
      <w:r>
        <w:rPr>
          <w:rFonts w:ascii="Times New Roman" w:eastAsia="Calibri"/>
          <w:sz w:val="24"/>
          <w:lang w:eastAsia="en-US"/>
        </w:rPr>
        <w:t>–</w:t>
      </w:r>
      <w:r>
        <w:rPr>
          <w:rFonts w:ascii="Times New Roman" w:eastAsia="Calibri"/>
          <w:sz w:val="24"/>
          <w:lang w:eastAsia="en-US"/>
        </w:rPr>
        <w:t xml:space="preserve">66. </w:t>
      </w:r>
    </w:p>
    <w:p w14:paraId="112DBCD0"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18.</w:t>
      </w:r>
      <w:r>
        <w:rPr>
          <w:rFonts w:ascii="Times New Roman" w:eastAsia="Calibri"/>
          <w:color w:val="222222"/>
          <w:sz w:val="24"/>
          <w:shd w:val="clear" w:color="auto" w:fill="FFFFFF"/>
          <w:lang w:eastAsia="en-US"/>
        </w:rPr>
        <w:t xml:space="preserve"> </w:t>
      </w:r>
      <w:r>
        <w:rPr>
          <w:rFonts w:ascii="Times New Roman" w:eastAsia="Calibri"/>
          <w:sz w:val="24"/>
          <w:lang w:eastAsia="en-US"/>
        </w:rPr>
        <w:t>Warnock DG, Delanaye P, Glassock, RJ. Risks for All-Cause Mortality: Stratified by Age, Estimated Glomerular Filtration Rate and Albuminuria.</w:t>
      </w:r>
      <w:r>
        <w:rPr>
          <w:rFonts w:ascii="Times New Roman" w:eastAsia="Calibri"/>
          <w:sz w:val="24"/>
          <w:lang w:eastAsia="en-US"/>
        </w:rPr>
        <w:t> </w:t>
      </w:r>
      <w:r>
        <w:rPr>
          <w:rFonts w:ascii="Times New Roman" w:eastAsia="Calibri"/>
          <w:iCs/>
          <w:sz w:val="24"/>
          <w:lang w:eastAsia="en-US"/>
        </w:rPr>
        <w:t>Nephron 2017;</w:t>
      </w:r>
      <w:r>
        <w:rPr>
          <w:rFonts w:ascii="Times New Roman" w:eastAsia="Calibri"/>
          <w:sz w:val="24"/>
          <w:lang w:eastAsia="en-US"/>
        </w:rPr>
        <w:t> </w:t>
      </w:r>
      <w:r>
        <w:rPr>
          <w:rFonts w:ascii="Times New Roman" w:eastAsia="Calibri"/>
          <w:bCs/>
          <w:sz w:val="24"/>
          <w:lang w:eastAsia="en-US"/>
        </w:rPr>
        <w:t>136</w:t>
      </w:r>
      <w:r>
        <w:rPr>
          <w:rFonts w:ascii="Times New Roman" w:eastAsia="Calibri"/>
          <w:sz w:val="24"/>
          <w:lang w:eastAsia="en-US"/>
        </w:rPr>
        <w:t>:292</w:t>
      </w:r>
      <w:r>
        <w:rPr>
          <w:rFonts w:ascii="Times New Roman" w:eastAsia="Calibri"/>
          <w:sz w:val="24"/>
          <w:lang w:eastAsia="en-US"/>
        </w:rPr>
        <w:t>–</w:t>
      </w:r>
      <w:r>
        <w:rPr>
          <w:rFonts w:ascii="Times New Roman" w:eastAsia="Calibri"/>
          <w:sz w:val="24"/>
          <w:lang w:eastAsia="en-US"/>
        </w:rPr>
        <w:t>297.</w:t>
      </w:r>
    </w:p>
    <w:p w14:paraId="22B137C7"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19.</w:t>
      </w:r>
      <w:r>
        <w:rPr>
          <w:rFonts w:ascii="Times New Roman" w:eastAsia="Calibri"/>
          <w:color w:val="222222"/>
          <w:sz w:val="24"/>
          <w:shd w:val="clear" w:color="auto" w:fill="FFFFFF"/>
          <w:lang w:eastAsia="en-US"/>
        </w:rPr>
        <w:t xml:space="preserve"> </w:t>
      </w:r>
      <w:r>
        <w:rPr>
          <w:rFonts w:ascii="Times New Roman" w:eastAsia="Calibri"/>
          <w:sz w:val="24"/>
          <w:lang w:eastAsia="en-US"/>
        </w:rPr>
        <w:t>Chen YT, Shih CJ, Ou SM,</w:t>
      </w:r>
      <w:r>
        <w:rPr>
          <w:rFonts w:ascii="Times New Roman" w:eastAsia="Times New Roman"/>
        </w:rPr>
        <w:t xml:space="preserve"> </w:t>
      </w:r>
      <w:r>
        <w:rPr>
          <w:rFonts w:ascii="Times New Roman" w:eastAsia="Calibri"/>
          <w:sz w:val="24"/>
          <w:lang w:eastAsia="en-US"/>
        </w:rPr>
        <w:t>Hung SC, Lin CH, Tarng GC. Periodontal Disease and Risks of Kidney Function Decline and Mortality in Older People: A Community-Based Cohort Study.</w:t>
      </w:r>
      <w:r>
        <w:rPr>
          <w:rFonts w:ascii="Times New Roman" w:eastAsia="Calibri"/>
          <w:sz w:val="24"/>
          <w:lang w:eastAsia="en-US"/>
        </w:rPr>
        <w:t> </w:t>
      </w:r>
      <w:r>
        <w:rPr>
          <w:rFonts w:ascii="Times New Roman" w:eastAsia="Calibri"/>
          <w:iCs/>
          <w:sz w:val="24"/>
          <w:lang w:eastAsia="en-US"/>
        </w:rPr>
        <w:t xml:space="preserve">American journal of kidney diseases: the official journal of the National Kidney Foundation </w:t>
      </w:r>
      <w:proofErr w:type="gramStart"/>
      <w:r>
        <w:rPr>
          <w:rFonts w:ascii="Times New Roman" w:eastAsia="Calibri"/>
          <w:iCs/>
          <w:sz w:val="24"/>
          <w:lang w:eastAsia="en-US"/>
        </w:rPr>
        <w:t>2015 ;66</w:t>
      </w:r>
      <w:proofErr w:type="gramEnd"/>
      <w:r>
        <w:rPr>
          <w:rFonts w:ascii="Times New Roman" w:eastAsia="Calibri"/>
          <w:iCs/>
          <w:sz w:val="24"/>
          <w:lang w:eastAsia="en-US"/>
        </w:rPr>
        <w:t>(2):223-30.</w:t>
      </w:r>
      <w:r>
        <w:rPr>
          <w:rFonts w:ascii="Times New Roman" w:eastAsia="Calibri"/>
          <w:sz w:val="24"/>
          <w:lang w:eastAsia="en-US"/>
        </w:rPr>
        <w:t> </w:t>
      </w:r>
    </w:p>
    <w:p w14:paraId="03B59A53" w14:textId="77777777" w:rsidR="00961BE6" w:rsidRDefault="00961BE6" w:rsidP="00961BE6">
      <w:pPr>
        <w:spacing w:after="200" w:line="480" w:lineRule="auto"/>
        <w:rPr>
          <w:rFonts w:ascii="Times New Roman" w:eastAsia="Calibri"/>
          <w:sz w:val="24"/>
          <w:lang w:eastAsia="en-US"/>
        </w:rPr>
      </w:pPr>
      <w:r>
        <w:rPr>
          <w:rFonts w:ascii="Times New Roman" w:eastAsia="Calibri"/>
          <w:sz w:val="24"/>
          <w:lang w:eastAsia="en-US"/>
        </w:rPr>
        <w:t>20.</w:t>
      </w:r>
      <w:r>
        <w:rPr>
          <w:rFonts w:ascii="Times New Roman" w:eastAsia="Calibri"/>
          <w:color w:val="222222"/>
          <w:sz w:val="24"/>
          <w:shd w:val="clear" w:color="auto" w:fill="FFFFFF"/>
          <w:lang w:eastAsia="en-US"/>
        </w:rPr>
        <w:t xml:space="preserve"> </w:t>
      </w:r>
      <w:r>
        <w:rPr>
          <w:rFonts w:ascii="Times New Roman" w:eastAsia="Calibri"/>
          <w:sz w:val="24"/>
          <w:lang w:eastAsia="en-US"/>
        </w:rPr>
        <w:t>Iff S, Wong G,Webster AC,</w:t>
      </w:r>
      <w:r>
        <w:rPr>
          <w:rFonts w:hint="eastAsia"/>
        </w:rPr>
        <w:t xml:space="preserve"> </w:t>
      </w:r>
      <w:r>
        <w:rPr>
          <w:rFonts w:ascii="Times New Roman" w:eastAsia="Calibri"/>
          <w:sz w:val="24"/>
          <w:lang w:eastAsia="en-US"/>
        </w:rPr>
        <w:t xml:space="preserve">Flood V, Wang JJ, Mitchell P </w:t>
      </w:r>
      <w:proofErr w:type="gramStart"/>
      <w:r>
        <w:rPr>
          <w:rFonts w:ascii="Times New Roman" w:eastAsia="Calibri"/>
          <w:sz w:val="24"/>
          <w:lang w:eastAsia="en-US"/>
        </w:rPr>
        <w:t>et.al</w:t>
      </w:r>
      <w:proofErr w:type="gramEnd"/>
      <w:r>
        <w:rPr>
          <w:rFonts w:ascii="Times New Roman" w:eastAsia="Calibri"/>
          <w:sz w:val="24"/>
          <w:lang w:eastAsia="en-US"/>
        </w:rPr>
        <w:t>. Relative energy balance, CKD, and risk of cardiovascular and all-cause mortality.</w:t>
      </w:r>
      <w:r>
        <w:rPr>
          <w:rFonts w:ascii="Times New Roman" w:eastAsia="Calibri"/>
          <w:sz w:val="24"/>
          <w:lang w:eastAsia="en-US"/>
        </w:rPr>
        <w:t> </w:t>
      </w:r>
      <w:r>
        <w:rPr>
          <w:rFonts w:ascii="Times New Roman" w:eastAsia="Calibri"/>
          <w:iCs/>
          <w:sz w:val="24"/>
          <w:lang w:eastAsia="en-US"/>
        </w:rPr>
        <w:t xml:space="preserve">American journal of kidney diseases: the official journal of the National Kidney </w:t>
      </w:r>
      <w:proofErr w:type="gramStart"/>
      <w:r>
        <w:rPr>
          <w:rFonts w:ascii="Times New Roman" w:eastAsia="Calibri"/>
          <w:iCs/>
          <w:sz w:val="24"/>
          <w:lang w:eastAsia="en-US"/>
        </w:rPr>
        <w:t xml:space="preserve">Foundation </w:t>
      </w:r>
      <w:r>
        <w:rPr>
          <w:rFonts w:ascii="Segoe UI" w:eastAsia="Calibri" w:hAnsi="Segoe UI" w:cs="Segoe UI"/>
          <w:color w:val="5B616B"/>
          <w:shd w:val="clear" w:color="auto" w:fill="FFFFFF"/>
          <w:lang w:eastAsia="en-US"/>
        </w:rPr>
        <w:t xml:space="preserve"> </w:t>
      </w:r>
      <w:r>
        <w:rPr>
          <w:rFonts w:ascii="Times New Roman" w:eastAsia="Calibri"/>
          <w:iCs/>
          <w:sz w:val="24"/>
          <w:lang w:eastAsia="en-US"/>
        </w:rPr>
        <w:t>2014</w:t>
      </w:r>
      <w:proofErr w:type="gramEnd"/>
      <w:r>
        <w:rPr>
          <w:rFonts w:ascii="Times New Roman" w:eastAsia="Calibri"/>
          <w:iCs/>
          <w:sz w:val="24"/>
          <w:lang w:eastAsia="en-US"/>
        </w:rPr>
        <w:t>;63(3):437-45</w:t>
      </w:r>
      <w:r>
        <w:rPr>
          <w:rFonts w:ascii="Times New Roman" w:eastAsia="Calibri"/>
          <w:sz w:val="24"/>
          <w:lang w:eastAsia="en-US"/>
        </w:rPr>
        <w:t>.</w:t>
      </w:r>
    </w:p>
    <w:p w14:paraId="68EE0B23" w14:textId="77777777" w:rsidR="00961BE6" w:rsidRDefault="00961BE6" w:rsidP="00961BE6">
      <w:pPr>
        <w:pStyle w:val="a"/>
        <w:wordWrap/>
        <w:adjustRightInd/>
        <w:spacing w:before="100" w:beforeAutospacing="1" w:after="100" w:afterAutospacing="1" w:line="480" w:lineRule="auto"/>
        <w:contextualSpacing/>
        <w:rPr>
          <w:rFonts w:ascii="Times New Roman" w:eastAsia="Malgun Gothic"/>
          <w:color w:val="808080"/>
        </w:rPr>
      </w:pPr>
      <w:r>
        <w:rPr>
          <w:rFonts w:ascii="Times New Roman" w:eastAsia="Malgun Gothic"/>
          <w:color w:val="808080"/>
        </w:rPr>
        <w:t xml:space="preserve"> </w:t>
      </w:r>
    </w:p>
    <w:p w14:paraId="0F2E2545" w14:textId="77777777" w:rsidR="00961BE6" w:rsidRDefault="00961BE6" w:rsidP="00961BE6">
      <w:pPr>
        <w:pStyle w:val="a"/>
        <w:wordWrap/>
        <w:adjustRightInd/>
        <w:spacing w:before="100" w:beforeAutospacing="1" w:after="100" w:afterAutospacing="1" w:line="480" w:lineRule="auto"/>
        <w:contextualSpacing/>
        <w:rPr>
          <w:rFonts w:ascii="Times New Roman" w:eastAsia="Malgun Gothic"/>
          <w:color w:val="808080"/>
        </w:rPr>
      </w:pPr>
    </w:p>
    <w:p w14:paraId="778E0457" w14:textId="77777777" w:rsidR="00961BE6" w:rsidRDefault="00961BE6" w:rsidP="00961BE6">
      <w:pPr>
        <w:pStyle w:val="a"/>
        <w:wordWrap/>
        <w:adjustRightInd/>
        <w:spacing w:before="100" w:beforeAutospacing="1" w:after="100" w:afterAutospacing="1" w:line="480" w:lineRule="auto"/>
        <w:contextualSpacing/>
        <w:rPr>
          <w:rFonts w:ascii="Times New Roman" w:eastAsia="Malgun Gothic"/>
          <w:color w:val="808080"/>
        </w:rPr>
      </w:pPr>
    </w:p>
    <w:p w14:paraId="1E498680" w14:textId="77777777" w:rsidR="00961BE6" w:rsidRDefault="00961BE6" w:rsidP="00961BE6">
      <w:pPr>
        <w:suppressAutoHyphens/>
        <w:spacing w:before="100" w:beforeAutospacing="1" w:after="100" w:afterAutospacing="1" w:line="480" w:lineRule="auto"/>
        <w:contextualSpacing/>
        <w:rPr>
          <w:rFonts w:ascii="Times New Roman" w:eastAsia="BatangChe"/>
          <w:b/>
          <w:bCs/>
          <w:color w:val="000000"/>
          <w:szCs w:val="20"/>
        </w:rPr>
      </w:pPr>
    </w:p>
    <w:p w14:paraId="05B9B0F3" w14:textId="77777777" w:rsidR="00961BE6" w:rsidRDefault="00961BE6" w:rsidP="00961BE6">
      <w:pPr>
        <w:suppressAutoHyphens/>
        <w:spacing w:before="100" w:beforeAutospacing="1" w:after="100" w:afterAutospacing="1" w:line="480" w:lineRule="auto"/>
        <w:contextualSpacing/>
        <w:rPr>
          <w:rFonts w:ascii="Times New Roman" w:eastAsia="Calibri"/>
          <w:b/>
          <w:bCs/>
          <w:szCs w:val="20"/>
          <w:lang w:val="en-GB" w:eastAsia="en-US"/>
        </w:rPr>
      </w:pPr>
      <w:proofErr w:type="gramStart"/>
      <w:r>
        <w:rPr>
          <w:rFonts w:ascii="Times New Roman" w:eastAsia="Calibri"/>
          <w:b/>
          <w:bCs/>
          <w:szCs w:val="20"/>
          <w:lang w:val="en-GB" w:eastAsia="en-US"/>
        </w:rPr>
        <w:t>Table 1.</w:t>
      </w:r>
      <w:proofErr w:type="gramEnd"/>
      <w:r>
        <w:rPr>
          <w:rFonts w:ascii="Times New Roman" w:eastAsia="Calibri"/>
          <w:b/>
          <w:bCs/>
          <w:szCs w:val="20"/>
          <w:lang w:val="en-GB" w:eastAsia="en-US"/>
        </w:rPr>
        <w:t xml:space="preserve"> </w:t>
      </w:r>
      <w:r>
        <w:rPr>
          <w:rFonts w:ascii="Times New Roman" w:eastAsia="Calibri"/>
          <w:bCs/>
          <w:szCs w:val="20"/>
          <w:lang w:eastAsia="en-US"/>
        </w:rPr>
        <w:t>Patients Characteristics</w:t>
      </w:r>
      <w:r>
        <w:rPr>
          <w:rFonts w:ascii="Times New Roman" w:eastAsia="Calibri"/>
          <w:b/>
          <w:bCs/>
          <w:szCs w:val="20"/>
          <w:lang w:val="en-GB" w:eastAsia="en-US"/>
        </w:rPr>
        <w:t xml:space="preserve"> </w:t>
      </w:r>
    </w:p>
    <w:tbl>
      <w:tblPr>
        <w:tblW w:w="5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807"/>
        <w:gridCol w:w="747"/>
        <w:gridCol w:w="1016"/>
        <w:gridCol w:w="1336"/>
        <w:gridCol w:w="1376"/>
        <w:gridCol w:w="1016"/>
        <w:gridCol w:w="1296"/>
        <w:gridCol w:w="1016"/>
        <w:gridCol w:w="696"/>
      </w:tblGrid>
      <w:tr w:rsidR="00961BE6" w14:paraId="46729A28" w14:textId="77777777" w:rsidTr="00961BE6">
        <w:trPr>
          <w:trHeight w:val="101"/>
        </w:trPr>
        <w:tc>
          <w:tcPr>
            <w:tcW w:w="1228"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3FC60297" w14:textId="77777777" w:rsidR="00961BE6" w:rsidRDefault="00961BE6">
            <w:pPr>
              <w:autoSpaceDE w:val="0"/>
              <w:autoSpaceDN w:val="0"/>
              <w:adjustRightInd w:val="0"/>
              <w:jc w:val="center"/>
              <w:rPr>
                <w:rFonts w:ascii="Times New Roman" w:eastAsia="Calibri" w:hAnsi="Times New Roman"/>
                <w:sz w:val="16"/>
                <w:szCs w:val="16"/>
                <w:lang w:eastAsia="en-US"/>
              </w:rPr>
            </w:pPr>
            <w:r>
              <w:rPr>
                <w:rFonts w:ascii="Times New Roman" w:eastAsia="Calibri"/>
                <w:sz w:val="16"/>
                <w:szCs w:val="16"/>
                <w:lang w:eastAsia="en-US"/>
              </w:rPr>
              <w:t>Variable</w:t>
            </w:r>
          </w:p>
        </w:tc>
        <w:tc>
          <w:tcPr>
            <w:tcW w:w="3434" w:type="pct"/>
            <w:gridSpan w:val="6"/>
            <w:tcBorders>
              <w:top w:val="single" w:sz="4" w:space="0" w:color="auto"/>
              <w:left w:val="single" w:sz="4" w:space="0" w:color="auto"/>
              <w:bottom w:val="single" w:sz="4" w:space="0" w:color="auto"/>
              <w:right w:val="single" w:sz="4" w:space="0" w:color="auto"/>
            </w:tcBorders>
            <w:vAlign w:val="center"/>
            <w:hideMark/>
          </w:tcPr>
          <w:p w14:paraId="2A5E2A0E"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GFR/Stage</w:t>
            </w:r>
          </w:p>
        </w:tc>
        <w:tc>
          <w:tcPr>
            <w:tcW w:w="337" w:type="pct"/>
            <w:tcBorders>
              <w:top w:val="single" w:sz="4" w:space="0" w:color="auto"/>
              <w:left w:val="single" w:sz="4" w:space="0" w:color="auto"/>
              <w:bottom w:val="single" w:sz="4" w:space="0" w:color="auto"/>
              <w:right w:val="single" w:sz="4" w:space="0" w:color="auto"/>
            </w:tcBorders>
            <w:vAlign w:val="center"/>
          </w:tcPr>
          <w:p w14:paraId="798034B2"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p>
        </w:tc>
      </w:tr>
      <w:tr w:rsidR="00961BE6" w14:paraId="5EF0D1D2" w14:textId="77777777" w:rsidTr="00961BE6">
        <w:trPr>
          <w:trHeight w:val="81"/>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590D65C" w14:textId="77777777" w:rsidR="00961BE6" w:rsidRDefault="00961BE6">
            <w:pPr>
              <w:rPr>
                <w:rFonts w:ascii="Times New Roman" w:eastAsia="Calibri" w:hAnsi="Times New Roman"/>
                <w:sz w:val="16"/>
                <w:szCs w:val="16"/>
                <w:lang w:eastAsia="en-US"/>
              </w:rPr>
            </w:pPr>
          </w:p>
        </w:tc>
        <w:tc>
          <w:tcPr>
            <w:tcW w:w="492" w:type="pct"/>
            <w:tcBorders>
              <w:top w:val="single" w:sz="4" w:space="0" w:color="auto"/>
              <w:left w:val="single" w:sz="4" w:space="0" w:color="auto"/>
              <w:bottom w:val="single" w:sz="4" w:space="0" w:color="auto"/>
              <w:right w:val="single" w:sz="4" w:space="0" w:color="auto"/>
            </w:tcBorders>
            <w:vAlign w:val="center"/>
            <w:hideMark/>
          </w:tcPr>
          <w:p w14:paraId="107C5B7F"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G1</w:t>
            </w:r>
          </w:p>
        </w:tc>
        <w:tc>
          <w:tcPr>
            <w:tcW w:w="655" w:type="pct"/>
            <w:tcBorders>
              <w:top w:val="single" w:sz="4" w:space="0" w:color="auto"/>
              <w:left w:val="single" w:sz="4" w:space="0" w:color="auto"/>
              <w:bottom w:val="single" w:sz="4" w:space="0" w:color="auto"/>
              <w:right w:val="single" w:sz="4" w:space="0" w:color="auto"/>
            </w:tcBorders>
            <w:vAlign w:val="center"/>
            <w:hideMark/>
          </w:tcPr>
          <w:p w14:paraId="0DCEC2F9"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G2</w:t>
            </w:r>
          </w:p>
        </w:tc>
        <w:tc>
          <w:tcPr>
            <w:tcW w:w="671" w:type="pct"/>
            <w:tcBorders>
              <w:top w:val="single" w:sz="4" w:space="0" w:color="auto"/>
              <w:left w:val="single" w:sz="4" w:space="0" w:color="auto"/>
              <w:bottom w:val="single" w:sz="4" w:space="0" w:color="auto"/>
              <w:right w:val="single" w:sz="4" w:space="0" w:color="auto"/>
            </w:tcBorders>
            <w:vAlign w:val="center"/>
            <w:hideMark/>
          </w:tcPr>
          <w:p w14:paraId="501A87E6"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G3a</w:t>
            </w:r>
          </w:p>
        </w:tc>
        <w:tc>
          <w:tcPr>
            <w:tcW w:w="492" w:type="pct"/>
            <w:tcBorders>
              <w:top w:val="single" w:sz="4" w:space="0" w:color="auto"/>
              <w:left w:val="single" w:sz="4" w:space="0" w:color="auto"/>
              <w:bottom w:val="single" w:sz="4" w:space="0" w:color="auto"/>
              <w:right w:val="single" w:sz="4" w:space="0" w:color="auto"/>
            </w:tcBorders>
            <w:vAlign w:val="center"/>
            <w:hideMark/>
          </w:tcPr>
          <w:p w14:paraId="24DC5A4C"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G3b</w:t>
            </w:r>
          </w:p>
        </w:tc>
        <w:tc>
          <w:tcPr>
            <w:tcW w:w="632" w:type="pct"/>
            <w:tcBorders>
              <w:top w:val="single" w:sz="4" w:space="0" w:color="auto"/>
              <w:left w:val="single" w:sz="4" w:space="0" w:color="auto"/>
              <w:bottom w:val="single" w:sz="4" w:space="0" w:color="auto"/>
              <w:right w:val="single" w:sz="4" w:space="0" w:color="auto"/>
            </w:tcBorders>
            <w:vAlign w:val="center"/>
            <w:hideMark/>
          </w:tcPr>
          <w:p w14:paraId="3480E3FC"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G4</w:t>
            </w:r>
          </w:p>
        </w:tc>
        <w:tc>
          <w:tcPr>
            <w:tcW w:w="492" w:type="pct"/>
            <w:tcBorders>
              <w:top w:val="single" w:sz="4" w:space="0" w:color="auto"/>
              <w:left w:val="single" w:sz="4" w:space="0" w:color="auto"/>
              <w:bottom w:val="single" w:sz="4" w:space="0" w:color="auto"/>
              <w:right w:val="single" w:sz="4" w:space="0" w:color="auto"/>
            </w:tcBorders>
            <w:vAlign w:val="center"/>
            <w:hideMark/>
          </w:tcPr>
          <w:p w14:paraId="4FB7143C"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G5</w:t>
            </w:r>
          </w:p>
        </w:tc>
        <w:tc>
          <w:tcPr>
            <w:tcW w:w="337" w:type="pct"/>
            <w:tcBorders>
              <w:top w:val="single" w:sz="4" w:space="0" w:color="auto"/>
              <w:left w:val="single" w:sz="4" w:space="0" w:color="auto"/>
              <w:bottom w:val="single" w:sz="4" w:space="0" w:color="auto"/>
              <w:right w:val="single" w:sz="4" w:space="0" w:color="auto"/>
            </w:tcBorders>
            <w:vAlign w:val="center"/>
          </w:tcPr>
          <w:p w14:paraId="3D902BE5"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p>
        </w:tc>
      </w:tr>
      <w:tr w:rsidR="00961BE6" w14:paraId="31C87F32" w14:textId="77777777" w:rsidTr="00961BE6">
        <w:trPr>
          <w:trHeight w:val="50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7AE5921" w14:textId="77777777" w:rsidR="00961BE6" w:rsidRDefault="00961BE6">
            <w:pPr>
              <w:rPr>
                <w:rFonts w:ascii="Times New Roman" w:eastAsia="Calibri" w:hAnsi="Times New Roman"/>
                <w:sz w:val="16"/>
                <w:szCs w:val="16"/>
                <w:lang w:eastAsia="en-US"/>
              </w:rPr>
            </w:pPr>
          </w:p>
        </w:tc>
        <w:tc>
          <w:tcPr>
            <w:tcW w:w="492" w:type="pct"/>
            <w:tcBorders>
              <w:top w:val="single" w:sz="4" w:space="0" w:color="auto"/>
              <w:left w:val="single" w:sz="4" w:space="0" w:color="auto"/>
              <w:bottom w:val="single" w:sz="4" w:space="0" w:color="auto"/>
              <w:right w:val="single" w:sz="4" w:space="0" w:color="auto"/>
            </w:tcBorders>
            <w:vAlign w:val="center"/>
            <w:hideMark/>
          </w:tcPr>
          <w:p w14:paraId="569E19C8"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Mean</w:t>
            </w:r>
          </w:p>
          <w:p w14:paraId="0A5002D9"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w:t>
            </w:r>
            <w:r>
              <w:rPr>
                <w:rFonts w:ascii="Times New Roman" w:eastAsia="Calibri"/>
                <w:sz w:val="16"/>
                <w:szCs w:val="16"/>
                <w:lang w:eastAsia="en-US"/>
              </w:rPr>
              <w:t>SD</w:t>
            </w:r>
          </w:p>
        </w:tc>
        <w:tc>
          <w:tcPr>
            <w:tcW w:w="655" w:type="pct"/>
            <w:tcBorders>
              <w:top w:val="single" w:sz="4" w:space="0" w:color="auto"/>
              <w:left w:val="single" w:sz="4" w:space="0" w:color="auto"/>
              <w:bottom w:val="single" w:sz="4" w:space="0" w:color="auto"/>
              <w:right w:val="single" w:sz="4" w:space="0" w:color="auto"/>
            </w:tcBorders>
            <w:vAlign w:val="center"/>
            <w:hideMark/>
          </w:tcPr>
          <w:p w14:paraId="3A89F59B"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Mean</w:t>
            </w:r>
          </w:p>
          <w:p w14:paraId="59A00CAE"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w:t>
            </w:r>
            <w:r>
              <w:rPr>
                <w:rFonts w:ascii="Times New Roman" w:eastAsia="Calibri"/>
                <w:sz w:val="16"/>
                <w:szCs w:val="16"/>
                <w:lang w:eastAsia="en-US"/>
              </w:rPr>
              <w:t>SD</w:t>
            </w:r>
          </w:p>
        </w:tc>
        <w:tc>
          <w:tcPr>
            <w:tcW w:w="671" w:type="pct"/>
            <w:tcBorders>
              <w:top w:val="single" w:sz="4" w:space="0" w:color="auto"/>
              <w:left w:val="single" w:sz="4" w:space="0" w:color="auto"/>
              <w:bottom w:val="single" w:sz="4" w:space="0" w:color="auto"/>
              <w:right w:val="single" w:sz="4" w:space="0" w:color="auto"/>
            </w:tcBorders>
            <w:vAlign w:val="center"/>
            <w:hideMark/>
          </w:tcPr>
          <w:p w14:paraId="6C135317"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Mean</w:t>
            </w:r>
          </w:p>
          <w:p w14:paraId="3C677811"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w:t>
            </w:r>
            <w:r>
              <w:rPr>
                <w:rFonts w:ascii="Times New Roman" w:eastAsia="Calibri"/>
                <w:sz w:val="16"/>
                <w:szCs w:val="16"/>
                <w:lang w:eastAsia="en-US"/>
              </w:rPr>
              <w:t>SD</w:t>
            </w:r>
          </w:p>
        </w:tc>
        <w:tc>
          <w:tcPr>
            <w:tcW w:w="492" w:type="pct"/>
            <w:tcBorders>
              <w:top w:val="single" w:sz="4" w:space="0" w:color="auto"/>
              <w:left w:val="single" w:sz="4" w:space="0" w:color="auto"/>
              <w:bottom w:val="single" w:sz="4" w:space="0" w:color="auto"/>
              <w:right w:val="single" w:sz="4" w:space="0" w:color="auto"/>
            </w:tcBorders>
            <w:vAlign w:val="center"/>
            <w:hideMark/>
          </w:tcPr>
          <w:p w14:paraId="6875EE6D"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Mean</w:t>
            </w:r>
          </w:p>
          <w:p w14:paraId="0F48CC07"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w:t>
            </w:r>
            <w:r>
              <w:rPr>
                <w:rFonts w:ascii="Times New Roman" w:eastAsia="Calibri"/>
                <w:sz w:val="16"/>
                <w:szCs w:val="16"/>
                <w:lang w:eastAsia="en-US"/>
              </w:rPr>
              <w:t>SD</w:t>
            </w:r>
          </w:p>
        </w:tc>
        <w:tc>
          <w:tcPr>
            <w:tcW w:w="632" w:type="pct"/>
            <w:tcBorders>
              <w:top w:val="single" w:sz="4" w:space="0" w:color="auto"/>
              <w:left w:val="single" w:sz="4" w:space="0" w:color="auto"/>
              <w:bottom w:val="single" w:sz="4" w:space="0" w:color="auto"/>
              <w:right w:val="single" w:sz="4" w:space="0" w:color="auto"/>
            </w:tcBorders>
            <w:vAlign w:val="center"/>
            <w:hideMark/>
          </w:tcPr>
          <w:p w14:paraId="76C7E8C1"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Mean</w:t>
            </w:r>
          </w:p>
          <w:p w14:paraId="6E392780"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w:t>
            </w:r>
            <w:r>
              <w:rPr>
                <w:rFonts w:ascii="Times New Roman" w:eastAsia="Calibri"/>
                <w:sz w:val="16"/>
                <w:szCs w:val="16"/>
                <w:lang w:eastAsia="en-US"/>
              </w:rPr>
              <w:t>SD</w:t>
            </w:r>
          </w:p>
        </w:tc>
        <w:tc>
          <w:tcPr>
            <w:tcW w:w="492" w:type="pct"/>
            <w:tcBorders>
              <w:top w:val="single" w:sz="4" w:space="0" w:color="auto"/>
              <w:left w:val="single" w:sz="4" w:space="0" w:color="auto"/>
              <w:bottom w:val="single" w:sz="4" w:space="0" w:color="auto"/>
              <w:right w:val="single" w:sz="4" w:space="0" w:color="auto"/>
            </w:tcBorders>
            <w:vAlign w:val="center"/>
            <w:hideMark/>
          </w:tcPr>
          <w:p w14:paraId="21AD4F37"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Mean</w:t>
            </w:r>
          </w:p>
          <w:p w14:paraId="10C4B23F"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w:t>
            </w:r>
            <w:r>
              <w:rPr>
                <w:rFonts w:ascii="Times New Roman" w:eastAsia="Calibri"/>
                <w:sz w:val="16"/>
                <w:szCs w:val="16"/>
                <w:lang w:eastAsia="en-US"/>
              </w:rPr>
              <w:t>SD</w:t>
            </w:r>
          </w:p>
        </w:tc>
        <w:tc>
          <w:tcPr>
            <w:tcW w:w="337" w:type="pct"/>
            <w:tcBorders>
              <w:top w:val="single" w:sz="4" w:space="0" w:color="auto"/>
              <w:left w:val="single" w:sz="4" w:space="0" w:color="auto"/>
              <w:bottom w:val="single" w:sz="4" w:space="0" w:color="auto"/>
              <w:right w:val="single" w:sz="4" w:space="0" w:color="auto"/>
            </w:tcBorders>
            <w:vAlign w:val="center"/>
          </w:tcPr>
          <w:p w14:paraId="64F6D661" w14:textId="77777777" w:rsidR="00961BE6" w:rsidRDefault="00961BE6">
            <w:pPr>
              <w:adjustRightInd w:val="0"/>
              <w:ind w:left="60" w:right="60"/>
              <w:jc w:val="center"/>
              <w:rPr>
                <w:rFonts w:ascii="Times New Roman" w:eastAsia="Calibri" w:hAnsi="Times New Roman"/>
                <w:sz w:val="16"/>
                <w:szCs w:val="16"/>
                <w:lang w:eastAsia="en-US"/>
              </w:rPr>
            </w:pPr>
            <w:proofErr w:type="gramStart"/>
            <w:r>
              <w:rPr>
                <w:rFonts w:ascii="Times New Roman" w:eastAsia="Calibri"/>
                <w:sz w:val="16"/>
                <w:szCs w:val="16"/>
                <w:lang w:eastAsia="en-US"/>
              </w:rPr>
              <w:t>p</w:t>
            </w:r>
            <w:proofErr w:type="gramEnd"/>
          </w:p>
          <w:p w14:paraId="6C8B299E"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p>
        </w:tc>
      </w:tr>
      <w:tr w:rsidR="00961BE6" w14:paraId="621CAC4E" w14:textId="77777777" w:rsidTr="00961BE6">
        <w:trPr>
          <w:trHeight w:val="101"/>
        </w:trPr>
        <w:tc>
          <w:tcPr>
            <w:tcW w:w="475" w:type="pct"/>
            <w:vMerge w:val="restart"/>
            <w:tcBorders>
              <w:top w:val="single" w:sz="4" w:space="0" w:color="auto"/>
              <w:left w:val="single" w:sz="4" w:space="0" w:color="auto"/>
              <w:bottom w:val="single" w:sz="4" w:space="0" w:color="auto"/>
              <w:right w:val="single" w:sz="4" w:space="0" w:color="auto"/>
            </w:tcBorders>
            <w:vAlign w:val="center"/>
            <w:hideMark/>
          </w:tcPr>
          <w:p w14:paraId="73C4711C"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proofErr w:type="gramStart"/>
            <w:r>
              <w:rPr>
                <w:rFonts w:ascii="Times New Roman" w:eastAsia="Calibri"/>
                <w:sz w:val="16"/>
                <w:szCs w:val="16"/>
                <w:lang w:eastAsia="en-US"/>
              </w:rPr>
              <w:t>Age,years</w:t>
            </w:r>
            <w:proofErr w:type="gramEnd"/>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14:paraId="5234381B"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Gender</w:t>
            </w:r>
          </w:p>
        </w:tc>
        <w:tc>
          <w:tcPr>
            <w:tcW w:w="362" w:type="pct"/>
            <w:tcBorders>
              <w:top w:val="single" w:sz="4" w:space="0" w:color="auto"/>
              <w:left w:val="single" w:sz="4" w:space="0" w:color="auto"/>
              <w:bottom w:val="single" w:sz="4" w:space="0" w:color="auto"/>
              <w:right w:val="single" w:sz="4" w:space="0" w:color="auto"/>
            </w:tcBorders>
            <w:vAlign w:val="center"/>
            <w:hideMark/>
          </w:tcPr>
          <w:p w14:paraId="38594418"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male</w:t>
            </w:r>
          </w:p>
        </w:tc>
        <w:tc>
          <w:tcPr>
            <w:tcW w:w="492" w:type="pct"/>
            <w:tcBorders>
              <w:top w:val="single" w:sz="4" w:space="0" w:color="auto"/>
              <w:left w:val="single" w:sz="4" w:space="0" w:color="auto"/>
              <w:bottom w:val="single" w:sz="4" w:space="0" w:color="auto"/>
              <w:right w:val="single" w:sz="4" w:space="0" w:color="auto"/>
            </w:tcBorders>
            <w:vAlign w:val="center"/>
            <w:hideMark/>
          </w:tcPr>
          <w:p w14:paraId="53960FDB"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81,7</w:t>
            </w:r>
            <w:r>
              <w:rPr>
                <w:rFonts w:ascii="Times New Roman" w:eastAsia="Calibri"/>
                <w:sz w:val="16"/>
                <w:szCs w:val="16"/>
                <w:lang w:eastAsia="en-US"/>
              </w:rPr>
              <w:t>±</w:t>
            </w:r>
            <w:r>
              <w:rPr>
                <w:rFonts w:ascii="Times New Roman" w:eastAsia="Calibri"/>
                <w:sz w:val="16"/>
                <w:szCs w:val="16"/>
                <w:lang w:eastAsia="en-US"/>
              </w:rPr>
              <w:t>5,8</w:t>
            </w:r>
          </w:p>
        </w:tc>
        <w:tc>
          <w:tcPr>
            <w:tcW w:w="655" w:type="pct"/>
            <w:tcBorders>
              <w:top w:val="single" w:sz="4" w:space="0" w:color="auto"/>
              <w:left w:val="single" w:sz="4" w:space="0" w:color="auto"/>
              <w:bottom w:val="single" w:sz="4" w:space="0" w:color="auto"/>
              <w:right w:val="single" w:sz="4" w:space="0" w:color="auto"/>
            </w:tcBorders>
            <w:vAlign w:val="center"/>
            <w:hideMark/>
          </w:tcPr>
          <w:p w14:paraId="3EEB14CF" w14:textId="77777777" w:rsidR="00961BE6" w:rsidRDefault="00961BE6">
            <w:pPr>
              <w:autoSpaceDE w:val="0"/>
              <w:autoSpaceDN w:val="0"/>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80,6</w:t>
            </w:r>
            <w:r>
              <w:rPr>
                <w:rFonts w:ascii="Times New Roman" w:eastAsia="Calibri"/>
                <w:sz w:val="16"/>
                <w:szCs w:val="16"/>
                <w:lang w:eastAsia="en-US"/>
              </w:rPr>
              <w:t>±</w:t>
            </w:r>
            <w:r>
              <w:rPr>
                <w:rFonts w:ascii="Times New Roman" w:eastAsia="Calibri"/>
                <w:sz w:val="16"/>
                <w:szCs w:val="16"/>
                <w:lang w:eastAsia="en-US"/>
              </w:rPr>
              <w:t>3,9</w:t>
            </w:r>
          </w:p>
        </w:tc>
        <w:tc>
          <w:tcPr>
            <w:tcW w:w="671" w:type="pct"/>
            <w:tcBorders>
              <w:top w:val="single" w:sz="4" w:space="0" w:color="auto"/>
              <w:left w:val="single" w:sz="4" w:space="0" w:color="auto"/>
              <w:bottom w:val="single" w:sz="4" w:space="0" w:color="auto"/>
              <w:right w:val="single" w:sz="4" w:space="0" w:color="auto"/>
            </w:tcBorders>
            <w:vAlign w:val="center"/>
            <w:hideMark/>
          </w:tcPr>
          <w:p w14:paraId="5B8A1147"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81,7</w:t>
            </w:r>
            <w:r>
              <w:rPr>
                <w:rFonts w:ascii="Times New Roman" w:eastAsia="Calibri"/>
                <w:sz w:val="16"/>
                <w:szCs w:val="16"/>
                <w:lang w:eastAsia="en-US"/>
              </w:rPr>
              <w:t>±</w:t>
            </w:r>
            <w:r>
              <w:rPr>
                <w:rFonts w:ascii="Times New Roman" w:eastAsia="Calibri"/>
                <w:sz w:val="16"/>
                <w:szCs w:val="16"/>
                <w:lang w:eastAsia="en-US"/>
              </w:rPr>
              <w:t>5,8</w:t>
            </w:r>
          </w:p>
        </w:tc>
        <w:tc>
          <w:tcPr>
            <w:tcW w:w="492" w:type="pct"/>
            <w:tcBorders>
              <w:top w:val="single" w:sz="4" w:space="0" w:color="auto"/>
              <w:left w:val="single" w:sz="4" w:space="0" w:color="auto"/>
              <w:bottom w:val="single" w:sz="4" w:space="0" w:color="auto"/>
              <w:right w:val="single" w:sz="4" w:space="0" w:color="auto"/>
            </w:tcBorders>
            <w:vAlign w:val="center"/>
            <w:hideMark/>
          </w:tcPr>
          <w:p w14:paraId="5AC5C6F4" w14:textId="77777777" w:rsidR="00961BE6" w:rsidRDefault="00961BE6">
            <w:pPr>
              <w:autoSpaceDE w:val="0"/>
              <w:autoSpaceDN w:val="0"/>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80,6</w:t>
            </w:r>
            <w:r>
              <w:rPr>
                <w:rFonts w:ascii="Times New Roman" w:eastAsia="Calibri"/>
                <w:sz w:val="16"/>
                <w:szCs w:val="16"/>
                <w:lang w:eastAsia="en-US"/>
              </w:rPr>
              <w:t>±</w:t>
            </w:r>
            <w:r>
              <w:rPr>
                <w:rFonts w:ascii="Times New Roman" w:eastAsia="Calibri"/>
                <w:sz w:val="16"/>
                <w:szCs w:val="16"/>
                <w:lang w:eastAsia="en-US"/>
              </w:rPr>
              <w:t>3,9</w:t>
            </w:r>
          </w:p>
        </w:tc>
        <w:tc>
          <w:tcPr>
            <w:tcW w:w="632" w:type="pct"/>
            <w:tcBorders>
              <w:top w:val="single" w:sz="4" w:space="0" w:color="auto"/>
              <w:left w:val="single" w:sz="4" w:space="0" w:color="auto"/>
              <w:bottom w:val="single" w:sz="4" w:space="0" w:color="auto"/>
              <w:right w:val="single" w:sz="4" w:space="0" w:color="auto"/>
            </w:tcBorders>
            <w:vAlign w:val="center"/>
            <w:hideMark/>
          </w:tcPr>
          <w:p w14:paraId="706E69A3"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82,6</w:t>
            </w:r>
            <w:r>
              <w:rPr>
                <w:rFonts w:ascii="Times New Roman" w:eastAsia="Calibri"/>
                <w:sz w:val="16"/>
                <w:szCs w:val="16"/>
                <w:lang w:eastAsia="en-US"/>
              </w:rPr>
              <w:t>±</w:t>
            </w:r>
            <w:r>
              <w:rPr>
                <w:rFonts w:ascii="Times New Roman" w:eastAsia="Calibri"/>
                <w:sz w:val="16"/>
                <w:szCs w:val="16"/>
                <w:lang w:eastAsia="en-US"/>
              </w:rPr>
              <w:t>5,0</w:t>
            </w:r>
          </w:p>
        </w:tc>
        <w:tc>
          <w:tcPr>
            <w:tcW w:w="492" w:type="pct"/>
            <w:tcBorders>
              <w:top w:val="single" w:sz="4" w:space="0" w:color="auto"/>
              <w:left w:val="single" w:sz="4" w:space="0" w:color="auto"/>
              <w:bottom w:val="single" w:sz="4" w:space="0" w:color="auto"/>
              <w:right w:val="single" w:sz="4" w:space="0" w:color="auto"/>
            </w:tcBorders>
            <w:vAlign w:val="center"/>
            <w:hideMark/>
          </w:tcPr>
          <w:p w14:paraId="56D77ABD"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82,5</w:t>
            </w:r>
            <w:r>
              <w:rPr>
                <w:rFonts w:ascii="Times New Roman" w:eastAsia="Calibri"/>
                <w:sz w:val="16"/>
                <w:szCs w:val="16"/>
                <w:lang w:eastAsia="en-US"/>
              </w:rPr>
              <w:t>±</w:t>
            </w:r>
            <w:r>
              <w:rPr>
                <w:rFonts w:ascii="Times New Roman" w:eastAsia="Calibri"/>
                <w:sz w:val="16"/>
                <w:szCs w:val="16"/>
                <w:lang w:eastAsia="en-US"/>
              </w:rPr>
              <w:t>4,7</w:t>
            </w:r>
          </w:p>
        </w:tc>
        <w:tc>
          <w:tcPr>
            <w:tcW w:w="337" w:type="pct"/>
            <w:vMerge w:val="restart"/>
            <w:tcBorders>
              <w:top w:val="single" w:sz="4" w:space="0" w:color="auto"/>
              <w:left w:val="single" w:sz="4" w:space="0" w:color="auto"/>
              <w:bottom w:val="single" w:sz="4" w:space="0" w:color="auto"/>
              <w:right w:val="single" w:sz="4" w:space="0" w:color="auto"/>
            </w:tcBorders>
            <w:vAlign w:val="center"/>
            <w:hideMark/>
          </w:tcPr>
          <w:p w14:paraId="238C8D7D"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0.106</w:t>
            </w:r>
          </w:p>
        </w:tc>
      </w:tr>
      <w:tr w:rsidR="00961BE6" w14:paraId="605410A2" w14:textId="77777777" w:rsidTr="00961BE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B1983" w14:textId="77777777" w:rsidR="00961BE6" w:rsidRDefault="00961BE6">
            <w:pPr>
              <w:rPr>
                <w:rFonts w:ascii="Times New Roman" w:eastAsia="Calibri" w:hAnsi="Times New Roman"/>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E5CA8" w14:textId="77777777" w:rsidR="00961BE6" w:rsidRDefault="00961BE6">
            <w:pPr>
              <w:rPr>
                <w:rFonts w:ascii="Times New Roman" w:eastAsia="Calibri" w:hAnsi="Times New Roman"/>
                <w:sz w:val="16"/>
                <w:szCs w:val="16"/>
                <w:lang w:eastAsia="en-US"/>
              </w:rPr>
            </w:pPr>
          </w:p>
        </w:tc>
        <w:tc>
          <w:tcPr>
            <w:tcW w:w="362" w:type="pct"/>
            <w:tcBorders>
              <w:top w:val="single" w:sz="4" w:space="0" w:color="auto"/>
              <w:left w:val="single" w:sz="4" w:space="0" w:color="auto"/>
              <w:bottom w:val="single" w:sz="4" w:space="0" w:color="auto"/>
              <w:right w:val="single" w:sz="4" w:space="0" w:color="auto"/>
            </w:tcBorders>
            <w:vAlign w:val="center"/>
            <w:hideMark/>
          </w:tcPr>
          <w:p w14:paraId="6A9556FF" w14:textId="77777777" w:rsidR="00961BE6" w:rsidRDefault="00961BE6">
            <w:pPr>
              <w:autoSpaceDE w:val="0"/>
              <w:autoSpaceDN w:val="0"/>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Female</w:t>
            </w:r>
          </w:p>
        </w:tc>
        <w:tc>
          <w:tcPr>
            <w:tcW w:w="492" w:type="pct"/>
            <w:tcBorders>
              <w:top w:val="single" w:sz="4" w:space="0" w:color="auto"/>
              <w:left w:val="single" w:sz="4" w:space="0" w:color="auto"/>
              <w:bottom w:val="single" w:sz="4" w:space="0" w:color="auto"/>
              <w:right w:val="single" w:sz="4" w:space="0" w:color="auto"/>
            </w:tcBorders>
            <w:vAlign w:val="center"/>
            <w:hideMark/>
          </w:tcPr>
          <w:p w14:paraId="7E37624A"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79,9</w:t>
            </w:r>
            <w:r>
              <w:rPr>
                <w:rFonts w:ascii="Times New Roman" w:eastAsia="Calibri"/>
                <w:sz w:val="16"/>
                <w:szCs w:val="16"/>
                <w:lang w:eastAsia="en-US"/>
              </w:rPr>
              <w:t>±</w:t>
            </w:r>
            <w:r>
              <w:rPr>
                <w:rFonts w:ascii="Times New Roman" w:eastAsia="Calibri"/>
                <w:sz w:val="16"/>
                <w:szCs w:val="16"/>
                <w:lang w:eastAsia="en-US"/>
              </w:rPr>
              <w:t>3,5</w:t>
            </w:r>
          </w:p>
        </w:tc>
        <w:tc>
          <w:tcPr>
            <w:tcW w:w="655" w:type="pct"/>
            <w:tcBorders>
              <w:top w:val="single" w:sz="4" w:space="0" w:color="auto"/>
              <w:left w:val="single" w:sz="4" w:space="0" w:color="auto"/>
              <w:bottom w:val="single" w:sz="4" w:space="0" w:color="auto"/>
              <w:right w:val="single" w:sz="4" w:space="0" w:color="auto"/>
            </w:tcBorders>
            <w:vAlign w:val="center"/>
            <w:hideMark/>
          </w:tcPr>
          <w:p w14:paraId="2DC2BDD3" w14:textId="77777777" w:rsidR="00961BE6" w:rsidRDefault="00961BE6">
            <w:pPr>
              <w:autoSpaceDE w:val="0"/>
              <w:autoSpaceDN w:val="0"/>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80,1</w:t>
            </w:r>
            <w:r>
              <w:rPr>
                <w:rFonts w:ascii="Times New Roman" w:eastAsia="Calibri"/>
                <w:sz w:val="16"/>
                <w:szCs w:val="16"/>
                <w:lang w:eastAsia="en-US"/>
              </w:rPr>
              <w:t>±</w:t>
            </w:r>
            <w:r>
              <w:rPr>
                <w:rFonts w:ascii="Times New Roman" w:eastAsia="Calibri"/>
                <w:sz w:val="16"/>
                <w:szCs w:val="16"/>
                <w:lang w:eastAsia="en-US"/>
              </w:rPr>
              <w:t>3,9</w:t>
            </w:r>
          </w:p>
        </w:tc>
        <w:tc>
          <w:tcPr>
            <w:tcW w:w="671" w:type="pct"/>
            <w:tcBorders>
              <w:top w:val="single" w:sz="4" w:space="0" w:color="auto"/>
              <w:left w:val="single" w:sz="4" w:space="0" w:color="auto"/>
              <w:bottom w:val="single" w:sz="4" w:space="0" w:color="auto"/>
              <w:right w:val="single" w:sz="4" w:space="0" w:color="auto"/>
            </w:tcBorders>
            <w:vAlign w:val="center"/>
            <w:hideMark/>
          </w:tcPr>
          <w:p w14:paraId="22F914C1"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79,9</w:t>
            </w:r>
            <w:r>
              <w:rPr>
                <w:rFonts w:ascii="Times New Roman" w:eastAsia="Calibri"/>
                <w:sz w:val="16"/>
                <w:szCs w:val="16"/>
                <w:lang w:eastAsia="en-US"/>
              </w:rPr>
              <w:t>±</w:t>
            </w:r>
            <w:r>
              <w:rPr>
                <w:rFonts w:ascii="Times New Roman" w:eastAsia="Calibri"/>
                <w:sz w:val="16"/>
                <w:szCs w:val="16"/>
                <w:lang w:eastAsia="en-US"/>
              </w:rPr>
              <w:t>3,5</w:t>
            </w:r>
          </w:p>
        </w:tc>
        <w:tc>
          <w:tcPr>
            <w:tcW w:w="492" w:type="pct"/>
            <w:tcBorders>
              <w:top w:val="single" w:sz="4" w:space="0" w:color="auto"/>
              <w:left w:val="single" w:sz="4" w:space="0" w:color="auto"/>
              <w:bottom w:val="single" w:sz="4" w:space="0" w:color="auto"/>
              <w:right w:val="single" w:sz="4" w:space="0" w:color="auto"/>
            </w:tcBorders>
            <w:vAlign w:val="center"/>
            <w:hideMark/>
          </w:tcPr>
          <w:p w14:paraId="489E066E" w14:textId="77777777" w:rsidR="00961BE6" w:rsidRDefault="00961BE6">
            <w:pPr>
              <w:autoSpaceDE w:val="0"/>
              <w:autoSpaceDN w:val="0"/>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80,1</w:t>
            </w:r>
            <w:r>
              <w:rPr>
                <w:rFonts w:ascii="Times New Roman" w:eastAsia="Calibri"/>
                <w:sz w:val="16"/>
                <w:szCs w:val="16"/>
                <w:lang w:eastAsia="en-US"/>
              </w:rPr>
              <w:t>±</w:t>
            </w:r>
            <w:r>
              <w:rPr>
                <w:rFonts w:ascii="Times New Roman" w:eastAsia="Calibri"/>
                <w:sz w:val="16"/>
                <w:szCs w:val="16"/>
                <w:lang w:eastAsia="en-US"/>
              </w:rPr>
              <w:t>3,9</w:t>
            </w:r>
          </w:p>
        </w:tc>
        <w:tc>
          <w:tcPr>
            <w:tcW w:w="632" w:type="pct"/>
            <w:tcBorders>
              <w:top w:val="single" w:sz="4" w:space="0" w:color="auto"/>
              <w:left w:val="single" w:sz="4" w:space="0" w:color="auto"/>
              <w:bottom w:val="single" w:sz="4" w:space="0" w:color="auto"/>
              <w:right w:val="single" w:sz="4" w:space="0" w:color="auto"/>
            </w:tcBorders>
            <w:vAlign w:val="center"/>
            <w:hideMark/>
          </w:tcPr>
          <w:p w14:paraId="71698D63"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81,8</w:t>
            </w:r>
            <w:r>
              <w:rPr>
                <w:rFonts w:ascii="Times New Roman" w:eastAsia="Calibri"/>
                <w:sz w:val="16"/>
                <w:szCs w:val="16"/>
                <w:lang w:eastAsia="en-US"/>
              </w:rPr>
              <w:t>±</w:t>
            </w:r>
            <w:r>
              <w:rPr>
                <w:rFonts w:ascii="Times New Roman" w:eastAsia="Calibri"/>
                <w:sz w:val="16"/>
                <w:szCs w:val="16"/>
                <w:lang w:eastAsia="en-US"/>
              </w:rPr>
              <w:t>4,8</w:t>
            </w:r>
          </w:p>
        </w:tc>
        <w:tc>
          <w:tcPr>
            <w:tcW w:w="492" w:type="pct"/>
            <w:tcBorders>
              <w:top w:val="single" w:sz="4" w:space="0" w:color="auto"/>
              <w:left w:val="single" w:sz="4" w:space="0" w:color="auto"/>
              <w:bottom w:val="single" w:sz="4" w:space="0" w:color="auto"/>
              <w:right w:val="single" w:sz="4" w:space="0" w:color="auto"/>
            </w:tcBorders>
            <w:vAlign w:val="center"/>
            <w:hideMark/>
          </w:tcPr>
          <w:p w14:paraId="79621096"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81,8</w:t>
            </w:r>
            <w:r>
              <w:rPr>
                <w:rFonts w:ascii="Times New Roman" w:eastAsia="Calibri"/>
                <w:sz w:val="16"/>
                <w:szCs w:val="16"/>
                <w:lang w:eastAsia="en-US"/>
              </w:rPr>
              <w:t>±</w:t>
            </w:r>
            <w:r>
              <w:rPr>
                <w:rFonts w:ascii="Times New Roman" w:eastAsia="Calibri"/>
                <w:sz w:val="16"/>
                <w:szCs w:val="16"/>
                <w:lang w:eastAsia="en-US"/>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353D6" w14:textId="77777777" w:rsidR="00961BE6" w:rsidRDefault="00961BE6">
            <w:pPr>
              <w:rPr>
                <w:rFonts w:ascii="Times New Roman" w:eastAsia="Calibri" w:hAnsi="Times New Roman"/>
                <w:sz w:val="16"/>
                <w:szCs w:val="16"/>
                <w:lang w:eastAsia="en-US"/>
              </w:rPr>
            </w:pPr>
          </w:p>
        </w:tc>
      </w:tr>
      <w:tr w:rsidR="00961BE6" w14:paraId="4F1D6457" w14:textId="77777777" w:rsidTr="00961BE6">
        <w:trPr>
          <w:trHeight w:val="101"/>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140EF32B"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 xml:space="preserve">Serum </w:t>
            </w:r>
            <w:r>
              <w:rPr>
                <w:rFonts w:ascii="Times New Roman" w:eastAsia="Calibri"/>
                <w:sz w:val="16"/>
                <w:szCs w:val="16"/>
                <w:lang w:eastAsia="en-US"/>
              </w:rPr>
              <w:t>Ü</w:t>
            </w:r>
            <w:r>
              <w:rPr>
                <w:rFonts w:ascii="Times New Roman" w:eastAsia="Calibri"/>
                <w:sz w:val="16"/>
                <w:szCs w:val="16"/>
                <w:lang w:eastAsia="en-US"/>
              </w:rPr>
              <w:t>rea Nitrogen(mg/dL)</w:t>
            </w:r>
          </w:p>
        </w:tc>
        <w:tc>
          <w:tcPr>
            <w:tcW w:w="492" w:type="pct"/>
            <w:tcBorders>
              <w:top w:val="single" w:sz="4" w:space="0" w:color="auto"/>
              <w:left w:val="single" w:sz="4" w:space="0" w:color="auto"/>
              <w:bottom w:val="single" w:sz="4" w:space="0" w:color="auto"/>
              <w:right w:val="single" w:sz="4" w:space="0" w:color="auto"/>
            </w:tcBorders>
            <w:vAlign w:val="center"/>
            <w:hideMark/>
          </w:tcPr>
          <w:p w14:paraId="1C9363B5"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19</w:t>
            </w:r>
            <w:r>
              <w:rPr>
                <w:rFonts w:ascii="Times New Roman" w:eastAsia="Calibri"/>
                <w:sz w:val="16"/>
                <w:szCs w:val="16"/>
                <w:lang w:eastAsia="en-US"/>
              </w:rPr>
              <w:t>±</w:t>
            </w:r>
            <w:r>
              <w:rPr>
                <w:rFonts w:ascii="Times New Roman" w:eastAsia="Calibri"/>
                <w:sz w:val="16"/>
                <w:szCs w:val="16"/>
                <w:lang w:eastAsia="en-US"/>
              </w:rPr>
              <w:t>8</w:t>
            </w:r>
          </w:p>
        </w:tc>
        <w:tc>
          <w:tcPr>
            <w:tcW w:w="655" w:type="pct"/>
            <w:tcBorders>
              <w:top w:val="single" w:sz="4" w:space="0" w:color="auto"/>
              <w:left w:val="single" w:sz="4" w:space="0" w:color="auto"/>
              <w:bottom w:val="single" w:sz="4" w:space="0" w:color="auto"/>
              <w:right w:val="single" w:sz="4" w:space="0" w:color="auto"/>
            </w:tcBorders>
            <w:vAlign w:val="center"/>
            <w:hideMark/>
          </w:tcPr>
          <w:p w14:paraId="5D64DB3D"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21(</w:t>
            </w:r>
            <w:r>
              <w:rPr>
                <w:rFonts w:ascii="Times New Roman" w:eastAsia="Calibri"/>
                <w:sz w:val="16"/>
                <w:szCs w:val="16"/>
                <w:lang w:eastAsia="en-US"/>
              </w:rPr>
              <w:t>±</w:t>
            </w:r>
            <w:r>
              <w:rPr>
                <w:rFonts w:ascii="Times New Roman" w:eastAsia="Calibri"/>
                <w:sz w:val="16"/>
                <w:szCs w:val="16"/>
                <w:lang w:eastAsia="en-US"/>
              </w:rPr>
              <w:t>7)</w:t>
            </w:r>
          </w:p>
        </w:tc>
        <w:tc>
          <w:tcPr>
            <w:tcW w:w="671" w:type="pct"/>
            <w:tcBorders>
              <w:top w:val="single" w:sz="4" w:space="0" w:color="auto"/>
              <w:left w:val="single" w:sz="4" w:space="0" w:color="auto"/>
              <w:bottom w:val="single" w:sz="4" w:space="0" w:color="auto"/>
              <w:right w:val="single" w:sz="4" w:space="0" w:color="auto"/>
            </w:tcBorders>
            <w:vAlign w:val="center"/>
            <w:hideMark/>
          </w:tcPr>
          <w:p w14:paraId="013B8DC1"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28(</w:t>
            </w:r>
            <w:r>
              <w:rPr>
                <w:rFonts w:ascii="Times New Roman" w:eastAsia="Calibri"/>
                <w:sz w:val="16"/>
                <w:szCs w:val="16"/>
                <w:lang w:eastAsia="en-US"/>
              </w:rPr>
              <w:t>±</w:t>
            </w:r>
            <w:r>
              <w:rPr>
                <w:rFonts w:ascii="Times New Roman" w:eastAsia="Calibri"/>
                <w:sz w:val="16"/>
                <w:szCs w:val="16"/>
                <w:lang w:eastAsia="en-US"/>
              </w:rPr>
              <w:t>13)</w:t>
            </w:r>
          </w:p>
        </w:tc>
        <w:tc>
          <w:tcPr>
            <w:tcW w:w="492" w:type="pct"/>
            <w:tcBorders>
              <w:top w:val="single" w:sz="4" w:space="0" w:color="auto"/>
              <w:left w:val="single" w:sz="4" w:space="0" w:color="auto"/>
              <w:bottom w:val="single" w:sz="4" w:space="0" w:color="auto"/>
              <w:right w:val="single" w:sz="4" w:space="0" w:color="auto"/>
            </w:tcBorders>
            <w:vAlign w:val="center"/>
            <w:hideMark/>
          </w:tcPr>
          <w:p w14:paraId="64B9C960"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39(</w:t>
            </w:r>
            <w:r>
              <w:rPr>
                <w:rFonts w:ascii="Times New Roman" w:eastAsia="Calibri"/>
                <w:sz w:val="16"/>
                <w:szCs w:val="16"/>
                <w:lang w:eastAsia="en-US"/>
              </w:rPr>
              <w:t>±</w:t>
            </w:r>
            <w:r>
              <w:rPr>
                <w:rFonts w:ascii="Times New Roman" w:eastAsia="Calibri"/>
                <w:sz w:val="16"/>
                <w:szCs w:val="16"/>
                <w:lang w:eastAsia="en-US"/>
              </w:rPr>
              <w:t>20)</w:t>
            </w:r>
          </w:p>
        </w:tc>
        <w:tc>
          <w:tcPr>
            <w:tcW w:w="632" w:type="pct"/>
            <w:tcBorders>
              <w:top w:val="single" w:sz="4" w:space="0" w:color="auto"/>
              <w:left w:val="single" w:sz="4" w:space="0" w:color="auto"/>
              <w:bottom w:val="single" w:sz="4" w:space="0" w:color="auto"/>
              <w:right w:val="single" w:sz="4" w:space="0" w:color="auto"/>
            </w:tcBorders>
            <w:vAlign w:val="center"/>
            <w:hideMark/>
          </w:tcPr>
          <w:p w14:paraId="466F64C8"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63(</w:t>
            </w:r>
            <w:r>
              <w:rPr>
                <w:rFonts w:ascii="Times New Roman" w:eastAsia="Calibri"/>
                <w:sz w:val="16"/>
                <w:szCs w:val="16"/>
                <w:lang w:eastAsia="en-US"/>
              </w:rPr>
              <w:t>±</w:t>
            </w:r>
            <w:r>
              <w:rPr>
                <w:rFonts w:ascii="Times New Roman" w:eastAsia="Calibri"/>
                <w:sz w:val="16"/>
                <w:szCs w:val="16"/>
                <w:lang w:eastAsia="en-US"/>
              </w:rPr>
              <w:t>28)</w:t>
            </w:r>
          </w:p>
        </w:tc>
        <w:tc>
          <w:tcPr>
            <w:tcW w:w="492" w:type="pct"/>
            <w:tcBorders>
              <w:top w:val="single" w:sz="4" w:space="0" w:color="auto"/>
              <w:left w:val="single" w:sz="4" w:space="0" w:color="auto"/>
              <w:bottom w:val="single" w:sz="4" w:space="0" w:color="auto"/>
              <w:right w:val="single" w:sz="4" w:space="0" w:color="auto"/>
            </w:tcBorders>
            <w:vAlign w:val="center"/>
            <w:hideMark/>
          </w:tcPr>
          <w:p w14:paraId="3A7A2A18"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87(</w:t>
            </w:r>
            <w:r>
              <w:rPr>
                <w:rFonts w:ascii="Times New Roman" w:eastAsia="Calibri"/>
                <w:sz w:val="16"/>
                <w:szCs w:val="16"/>
                <w:lang w:eastAsia="en-US"/>
              </w:rPr>
              <w:t>±</w:t>
            </w:r>
            <w:r>
              <w:rPr>
                <w:rFonts w:ascii="Times New Roman" w:eastAsia="Calibri"/>
                <w:sz w:val="16"/>
                <w:szCs w:val="16"/>
                <w:lang w:eastAsia="en-US"/>
              </w:rPr>
              <w:t>25)</w:t>
            </w:r>
          </w:p>
        </w:tc>
        <w:tc>
          <w:tcPr>
            <w:tcW w:w="337" w:type="pct"/>
            <w:tcBorders>
              <w:top w:val="single" w:sz="4" w:space="0" w:color="auto"/>
              <w:left w:val="single" w:sz="4" w:space="0" w:color="auto"/>
              <w:bottom w:val="single" w:sz="4" w:space="0" w:color="auto"/>
              <w:right w:val="single" w:sz="4" w:space="0" w:color="auto"/>
            </w:tcBorders>
            <w:vAlign w:val="center"/>
            <w:hideMark/>
          </w:tcPr>
          <w:p w14:paraId="7BADA199"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0.01</w:t>
            </w:r>
          </w:p>
        </w:tc>
      </w:tr>
      <w:tr w:rsidR="00961BE6" w14:paraId="451855F0" w14:textId="77777777" w:rsidTr="00961BE6">
        <w:trPr>
          <w:trHeight w:val="207"/>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359F3DE4"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Creatinine(mg/dL)</w:t>
            </w:r>
          </w:p>
        </w:tc>
        <w:tc>
          <w:tcPr>
            <w:tcW w:w="492" w:type="pct"/>
            <w:tcBorders>
              <w:top w:val="single" w:sz="4" w:space="0" w:color="auto"/>
              <w:left w:val="single" w:sz="4" w:space="0" w:color="auto"/>
              <w:bottom w:val="single" w:sz="4" w:space="0" w:color="auto"/>
              <w:right w:val="single" w:sz="4" w:space="0" w:color="auto"/>
            </w:tcBorders>
            <w:vAlign w:val="center"/>
            <w:hideMark/>
          </w:tcPr>
          <w:p w14:paraId="391616F7" w14:textId="77777777" w:rsidR="00961BE6" w:rsidRDefault="00961BE6">
            <w:pPr>
              <w:autoSpaceDE w:val="0"/>
              <w:autoSpaceDN w:val="0"/>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0,64</w:t>
            </w:r>
            <w:r>
              <w:rPr>
                <w:rFonts w:ascii="Times New Roman" w:eastAsia="Calibri"/>
                <w:sz w:val="16"/>
                <w:szCs w:val="16"/>
                <w:lang w:eastAsia="en-US"/>
              </w:rPr>
              <w:t>±</w:t>
            </w:r>
            <w:r>
              <w:rPr>
                <w:rFonts w:ascii="Times New Roman" w:eastAsia="Calibri"/>
                <w:sz w:val="16"/>
                <w:szCs w:val="16"/>
                <w:lang w:eastAsia="en-US"/>
              </w:rPr>
              <w:t>0,1</w:t>
            </w:r>
          </w:p>
        </w:tc>
        <w:tc>
          <w:tcPr>
            <w:tcW w:w="655" w:type="pct"/>
            <w:tcBorders>
              <w:top w:val="single" w:sz="4" w:space="0" w:color="auto"/>
              <w:left w:val="single" w:sz="4" w:space="0" w:color="auto"/>
              <w:bottom w:val="single" w:sz="4" w:space="0" w:color="auto"/>
              <w:right w:val="single" w:sz="4" w:space="0" w:color="auto"/>
            </w:tcBorders>
            <w:vAlign w:val="center"/>
            <w:hideMark/>
          </w:tcPr>
          <w:p w14:paraId="1F7BD1FB" w14:textId="77777777" w:rsidR="00961BE6" w:rsidRDefault="00961BE6">
            <w:pPr>
              <w:autoSpaceDE w:val="0"/>
              <w:autoSpaceDN w:val="0"/>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0,87</w:t>
            </w:r>
            <w:r>
              <w:rPr>
                <w:rFonts w:ascii="Times New Roman" w:eastAsia="Calibri"/>
                <w:sz w:val="16"/>
                <w:szCs w:val="16"/>
                <w:lang w:eastAsia="en-US"/>
              </w:rPr>
              <w:t>±</w:t>
            </w:r>
            <w:r>
              <w:rPr>
                <w:rFonts w:ascii="Times New Roman" w:eastAsia="Calibri"/>
                <w:sz w:val="16"/>
                <w:szCs w:val="16"/>
                <w:lang w:eastAsia="en-US"/>
              </w:rPr>
              <w:t>0,1</w:t>
            </w:r>
          </w:p>
        </w:tc>
        <w:tc>
          <w:tcPr>
            <w:tcW w:w="671" w:type="pct"/>
            <w:tcBorders>
              <w:top w:val="single" w:sz="4" w:space="0" w:color="auto"/>
              <w:left w:val="single" w:sz="4" w:space="0" w:color="auto"/>
              <w:bottom w:val="single" w:sz="4" w:space="0" w:color="auto"/>
              <w:right w:val="single" w:sz="4" w:space="0" w:color="auto"/>
            </w:tcBorders>
            <w:vAlign w:val="center"/>
            <w:hideMark/>
          </w:tcPr>
          <w:p w14:paraId="6C335243"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1,18</w:t>
            </w:r>
            <w:r>
              <w:rPr>
                <w:rFonts w:ascii="Times New Roman" w:eastAsia="Calibri"/>
                <w:sz w:val="16"/>
                <w:szCs w:val="16"/>
                <w:lang w:eastAsia="en-US"/>
              </w:rPr>
              <w:t>±</w:t>
            </w:r>
            <w:r>
              <w:rPr>
                <w:rFonts w:ascii="Times New Roman" w:eastAsia="Calibri"/>
                <w:sz w:val="16"/>
                <w:szCs w:val="16"/>
                <w:lang w:eastAsia="en-US"/>
              </w:rPr>
              <w:t>0,17</w:t>
            </w:r>
          </w:p>
        </w:tc>
        <w:tc>
          <w:tcPr>
            <w:tcW w:w="492" w:type="pct"/>
            <w:tcBorders>
              <w:top w:val="single" w:sz="4" w:space="0" w:color="auto"/>
              <w:left w:val="single" w:sz="4" w:space="0" w:color="auto"/>
              <w:bottom w:val="single" w:sz="4" w:space="0" w:color="auto"/>
              <w:right w:val="single" w:sz="4" w:space="0" w:color="auto"/>
            </w:tcBorders>
            <w:vAlign w:val="center"/>
            <w:hideMark/>
          </w:tcPr>
          <w:p w14:paraId="07E7CA81" w14:textId="77777777" w:rsidR="00961BE6" w:rsidRDefault="00961BE6">
            <w:pPr>
              <w:autoSpaceDE w:val="0"/>
              <w:autoSpaceDN w:val="0"/>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1,56</w:t>
            </w:r>
            <w:r>
              <w:rPr>
                <w:rFonts w:ascii="Times New Roman" w:eastAsia="Calibri"/>
                <w:sz w:val="16"/>
                <w:szCs w:val="16"/>
                <w:lang w:eastAsia="en-US"/>
              </w:rPr>
              <w:t>±</w:t>
            </w:r>
            <w:r>
              <w:rPr>
                <w:rFonts w:ascii="Times New Roman" w:eastAsia="Calibri"/>
                <w:sz w:val="16"/>
                <w:szCs w:val="16"/>
                <w:lang w:eastAsia="en-US"/>
              </w:rPr>
              <w:t>0,2</w:t>
            </w:r>
          </w:p>
        </w:tc>
        <w:tc>
          <w:tcPr>
            <w:tcW w:w="632" w:type="pct"/>
            <w:tcBorders>
              <w:top w:val="single" w:sz="4" w:space="0" w:color="auto"/>
              <w:left w:val="single" w:sz="4" w:space="0" w:color="auto"/>
              <w:bottom w:val="single" w:sz="4" w:space="0" w:color="auto"/>
              <w:right w:val="single" w:sz="4" w:space="0" w:color="auto"/>
            </w:tcBorders>
            <w:vAlign w:val="center"/>
            <w:hideMark/>
          </w:tcPr>
          <w:p w14:paraId="62507B92"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2,42</w:t>
            </w:r>
            <w:r>
              <w:rPr>
                <w:rFonts w:ascii="Times New Roman" w:eastAsia="Calibri"/>
                <w:sz w:val="16"/>
                <w:szCs w:val="16"/>
                <w:lang w:eastAsia="en-US"/>
              </w:rPr>
              <w:t>±</w:t>
            </w:r>
            <w:r>
              <w:rPr>
                <w:rFonts w:ascii="Times New Roman" w:eastAsia="Calibri"/>
                <w:sz w:val="16"/>
                <w:szCs w:val="16"/>
                <w:lang w:eastAsia="en-US"/>
              </w:rPr>
              <w:t>0,55</w:t>
            </w:r>
          </w:p>
        </w:tc>
        <w:tc>
          <w:tcPr>
            <w:tcW w:w="492" w:type="pct"/>
            <w:tcBorders>
              <w:top w:val="single" w:sz="4" w:space="0" w:color="auto"/>
              <w:left w:val="single" w:sz="4" w:space="0" w:color="auto"/>
              <w:bottom w:val="single" w:sz="4" w:space="0" w:color="auto"/>
              <w:right w:val="single" w:sz="4" w:space="0" w:color="auto"/>
            </w:tcBorders>
            <w:vAlign w:val="center"/>
            <w:hideMark/>
          </w:tcPr>
          <w:p w14:paraId="44A17F88"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4,88</w:t>
            </w:r>
            <w:r>
              <w:rPr>
                <w:rFonts w:ascii="Times New Roman" w:eastAsia="Calibri"/>
                <w:sz w:val="16"/>
                <w:szCs w:val="16"/>
                <w:lang w:eastAsia="en-US"/>
              </w:rPr>
              <w:t>±</w:t>
            </w:r>
            <w:r>
              <w:rPr>
                <w:rFonts w:ascii="Times New Roman" w:eastAsia="Calibri"/>
                <w:sz w:val="16"/>
                <w:szCs w:val="16"/>
                <w:lang w:eastAsia="en-US"/>
              </w:rPr>
              <w:t>2,09</w:t>
            </w:r>
          </w:p>
        </w:tc>
        <w:tc>
          <w:tcPr>
            <w:tcW w:w="337" w:type="pct"/>
            <w:tcBorders>
              <w:top w:val="single" w:sz="4" w:space="0" w:color="auto"/>
              <w:left w:val="single" w:sz="4" w:space="0" w:color="auto"/>
              <w:bottom w:val="single" w:sz="4" w:space="0" w:color="auto"/>
              <w:right w:val="single" w:sz="4" w:space="0" w:color="auto"/>
            </w:tcBorders>
            <w:vAlign w:val="center"/>
            <w:hideMark/>
          </w:tcPr>
          <w:p w14:paraId="02A6690A"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0.01</w:t>
            </w:r>
          </w:p>
        </w:tc>
      </w:tr>
      <w:tr w:rsidR="00961BE6" w14:paraId="5BB299D8" w14:textId="77777777" w:rsidTr="00961BE6">
        <w:trPr>
          <w:trHeight w:val="107"/>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51A59F99"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GFR(mL/kg/ 1.73 m</w:t>
            </w:r>
            <w:r>
              <w:rPr>
                <w:rFonts w:ascii="Times New Roman" w:eastAsia="Calibri"/>
                <w:sz w:val="16"/>
                <w:szCs w:val="16"/>
                <w:vertAlign w:val="superscript"/>
                <w:lang w:eastAsia="en-US"/>
              </w:rPr>
              <w:t>2</w:t>
            </w:r>
            <w:r>
              <w:rPr>
                <w:rFonts w:ascii="Times New Roman" w:eastAsia="Calibri"/>
                <w:sz w:val="16"/>
                <w:szCs w:val="16"/>
                <w:lang w:eastAsia="en-US"/>
              </w:rPr>
              <w:t>)</w:t>
            </w:r>
          </w:p>
        </w:tc>
        <w:tc>
          <w:tcPr>
            <w:tcW w:w="492" w:type="pct"/>
            <w:tcBorders>
              <w:top w:val="single" w:sz="4" w:space="0" w:color="auto"/>
              <w:left w:val="single" w:sz="4" w:space="0" w:color="auto"/>
              <w:bottom w:val="single" w:sz="4" w:space="0" w:color="auto"/>
              <w:right w:val="single" w:sz="4" w:space="0" w:color="auto"/>
            </w:tcBorders>
            <w:vAlign w:val="center"/>
            <w:hideMark/>
          </w:tcPr>
          <w:p w14:paraId="59E87F08" w14:textId="77777777" w:rsidR="00961BE6" w:rsidRDefault="00961BE6">
            <w:pPr>
              <w:autoSpaceDE w:val="0"/>
              <w:autoSpaceDN w:val="0"/>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109,1</w:t>
            </w:r>
            <w:r>
              <w:rPr>
                <w:rFonts w:ascii="Times New Roman" w:eastAsia="Calibri"/>
                <w:sz w:val="16"/>
                <w:szCs w:val="16"/>
                <w:lang w:eastAsia="en-US"/>
              </w:rPr>
              <w:t>±</w:t>
            </w:r>
            <w:r>
              <w:rPr>
                <w:rFonts w:ascii="Times New Roman" w:eastAsia="Calibri"/>
                <w:sz w:val="16"/>
                <w:szCs w:val="16"/>
                <w:lang w:eastAsia="en-US"/>
              </w:rPr>
              <w:t>18</w:t>
            </w:r>
          </w:p>
        </w:tc>
        <w:tc>
          <w:tcPr>
            <w:tcW w:w="655" w:type="pct"/>
            <w:tcBorders>
              <w:top w:val="single" w:sz="4" w:space="0" w:color="auto"/>
              <w:left w:val="single" w:sz="4" w:space="0" w:color="auto"/>
              <w:bottom w:val="single" w:sz="4" w:space="0" w:color="auto"/>
              <w:right w:val="single" w:sz="4" w:space="0" w:color="auto"/>
            </w:tcBorders>
            <w:vAlign w:val="center"/>
            <w:hideMark/>
          </w:tcPr>
          <w:p w14:paraId="475E3690"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72,4</w:t>
            </w:r>
            <w:r>
              <w:rPr>
                <w:rFonts w:ascii="Times New Roman" w:eastAsia="Calibri"/>
                <w:sz w:val="16"/>
                <w:szCs w:val="16"/>
                <w:lang w:eastAsia="en-US"/>
              </w:rPr>
              <w:t>±</w:t>
            </w:r>
            <w:r>
              <w:rPr>
                <w:rFonts w:ascii="Times New Roman" w:eastAsia="Calibri"/>
                <w:sz w:val="16"/>
                <w:szCs w:val="16"/>
                <w:lang w:eastAsia="en-US"/>
              </w:rPr>
              <w:t>8,1</w:t>
            </w:r>
          </w:p>
        </w:tc>
        <w:tc>
          <w:tcPr>
            <w:tcW w:w="671" w:type="pct"/>
            <w:tcBorders>
              <w:top w:val="single" w:sz="4" w:space="0" w:color="auto"/>
              <w:left w:val="single" w:sz="4" w:space="0" w:color="auto"/>
              <w:bottom w:val="single" w:sz="4" w:space="0" w:color="auto"/>
              <w:right w:val="single" w:sz="4" w:space="0" w:color="auto"/>
            </w:tcBorders>
            <w:vAlign w:val="center"/>
            <w:hideMark/>
          </w:tcPr>
          <w:p w14:paraId="0460184B"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52,2</w:t>
            </w:r>
            <w:r>
              <w:rPr>
                <w:rFonts w:ascii="Times New Roman" w:eastAsia="Calibri"/>
                <w:sz w:val="16"/>
                <w:szCs w:val="16"/>
                <w:lang w:eastAsia="en-US"/>
              </w:rPr>
              <w:t>±</w:t>
            </w:r>
            <w:r>
              <w:rPr>
                <w:rFonts w:ascii="Times New Roman" w:eastAsia="Calibri"/>
                <w:sz w:val="16"/>
                <w:szCs w:val="16"/>
                <w:lang w:eastAsia="en-US"/>
              </w:rPr>
              <w:t>4,2</w:t>
            </w:r>
          </w:p>
        </w:tc>
        <w:tc>
          <w:tcPr>
            <w:tcW w:w="492" w:type="pct"/>
            <w:tcBorders>
              <w:top w:val="single" w:sz="4" w:space="0" w:color="auto"/>
              <w:left w:val="single" w:sz="4" w:space="0" w:color="auto"/>
              <w:bottom w:val="single" w:sz="4" w:space="0" w:color="auto"/>
              <w:right w:val="single" w:sz="4" w:space="0" w:color="auto"/>
            </w:tcBorders>
            <w:vAlign w:val="center"/>
            <w:hideMark/>
          </w:tcPr>
          <w:p w14:paraId="7590B0E3" w14:textId="77777777" w:rsidR="00961BE6" w:rsidRDefault="00961BE6">
            <w:pPr>
              <w:autoSpaceDE w:val="0"/>
              <w:autoSpaceDN w:val="0"/>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37,8</w:t>
            </w:r>
            <w:r>
              <w:rPr>
                <w:rFonts w:ascii="Times New Roman" w:eastAsia="Calibri"/>
                <w:sz w:val="16"/>
                <w:szCs w:val="16"/>
                <w:lang w:eastAsia="en-US"/>
              </w:rPr>
              <w:t>±</w:t>
            </w:r>
            <w:r>
              <w:rPr>
                <w:rFonts w:ascii="Times New Roman" w:eastAsia="Calibri"/>
                <w:sz w:val="16"/>
                <w:szCs w:val="16"/>
                <w:lang w:eastAsia="en-US"/>
              </w:rPr>
              <w:t>4,6</w:t>
            </w:r>
          </w:p>
        </w:tc>
        <w:tc>
          <w:tcPr>
            <w:tcW w:w="632" w:type="pct"/>
            <w:tcBorders>
              <w:top w:val="single" w:sz="4" w:space="0" w:color="auto"/>
              <w:left w:val="single" w:sz="4" w:space="0" w:color="auto"/>
              <w:bottom w:val="single" w:sz="4" w:space="0" w:color="auto"/>
              <w:right w:val="single" w:sz="4" w:space="0" w:color="auto"/>
            </w:tcBorders>
            <w:vAlign w:val="center"/>
            <w:hideMark/>
          </w:tcPr>
          <w:p w14:paraId="4ADEE4C8"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23,1</w:t>
            </w:r>
            <w:r>
              <w:rPr>
                <w:rFonts w:ascii="Times New Roman" w:eastAsia="Calibri"/>
                <w:sz w:val="16"/>
                <w:szCs w:val="16"/>
                <w:lang w:eastAsia="en-US"/>
              </w:rPr>
              <w:t>±</w:t>
            </w:r>
            <w:r>
              <w:rPr>
                <w:rFonts w:ascii="Times New Roman" w:eastAsia="Calibri"/>
                <w:sz w:val="16"/>
                <w:szCs w:val="16"/>
                <w:lang w:eastAsia="en-US"/>
              </w:rPr>
              <w:t>4,4</w:t>
            </w:r>
          </w:p>
        </w:tc>
        <w:tc>
          <w:tcPr>
            <w:tcW w:w="492" w:type="pct"/>
            <w:tcBorders>
              <w:top w:val="single" w:sz="4" w:space="0" w:color="auto"/>
              <w:left w:val="single" w:sz="4" w:space="0" w:color="auto"/>
              <w:bottom w:val="single" w:sz="4" w:space="0" w:color="auto"/>
              <w:right w:val="single" w:sz="4" w:space="0" w:color="auto"/>
            </w:tcBorders>
            <w:vAlign w:val="center"/>
            <w:hideMark/>
          </w:tcPr>
          <w:p w14:paraId="63FBB148"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11,1</w:t>
            </w:r>
            <w:r>
              <w:rPr>
                <w:rFonts w:ascii="Times New Roman" w:eastAsia="Calibri"/>
                <w:sz w:val="16"/>
                <w:szCs w:val="16"/>
                <w:lang w:eastAsia="en-US"/>
              </w:rPr>
              <w:t>±</w:t>
            </w:r>
            <w:r>
              <w:rPr>
                <w:rFonts w:ascii="Times New Roman" w:eastAsia="Calibri"/>
                <w:sz w:val="16"/>
                <w:szCs w:val="16"/>
                <w:lang w:eastAsia="en-US"/>
              </w:rPr>
              <w:t>3,2</w:t>
            </w:r>
          </w:p>
        </w:tc>
        <w:tc>
          <w:tcPr>
            <w:tcW w:w="337" w:type="pct"/>
            <w:tcBorders>
              <w:top w:val="single" w:sz="4" w:space="0" w:color="auto"/>
              <w:left w:val="single" w:sz="4" w:space="0" w:color="auto"/>
              <w:bottom w:val="single" w:sz="4" w:space="0" w:color="auto"/>
              <w:right w:val="single" w:sz="4" w:space="0" w:color="auto"/>
            </w:tcBorders>
            <w:vAlign w:val="center"/>
            <w:hideMark/>
          </w:tcPr>
          <w:p w14:paraId="49CD152F"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0.01</w:t>
            </w:r>
          </w:p>
        </w:tc>
      </w:tr>
      <w:tr w:rsidR="00961BE6" w14:paraId="7BD1DE8B" w14:textId="77777777" w:rsidTr="00961BE6">
        <w:trPr>
          <w:trHeight w:val="101"/>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6DC4D147"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Hemoglobine(g/dL)</w:t>
            </w:r>
          </w:p>
        </w:tc>
        <w:tc>
          <w:tcPr>
            <w:tcW w:w="492" w:type="pct"/>
            <w:tcBorders>
              <w:top w:val="single" w:sz="4" w:space="0" w:color="auto"/>
              <w:left w:val="single" w:sz="4" w:space="0" w:color="auto"/>
              <w:bottom w:val="single" w:sz="4" w:space="0" w:color="auto"/>
              <w:right w:val="single" w:sz="4" w:space="0" w:color="auto"/>
            </w:tcBorders>
            <w:vAlign w:val="center"/>
            <w:hideMark/>
          </w:tcPr>
          <w:p w14:paraId="329D7A85"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w:t>
            </w:r>
            <w:r>
              <w:rPr>
                <w:rFonts w:ascii="Times New Roman" w:eastAsia="Calibri"/>
                <w:sz w:val="16"/>
                <w:szCs w:val="16"/>
                <w:lang w:eastAsia="en-US"/>
              </w:rPr>
              <w:t>±</w:t>
            </w:r>
            <w:r>
              <w:rPr>
                <w:rFonts w:ascii="Times New Roman" w:eastAsia="Calibri"/>
                <w:sz w:val="16"/>
                <w:szCs w:val="16"/>
                <w:lang w:eastAsia="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14:paraId="5E71FF2E" w14:textId="77777777" w:rsidR="00961BE6" w:rsidRDefault="00961BE6">
            <w:pPr>
              <w:autoSpaceDE w:val="0"/>
              <w:autoSpaceDN w:val="0"/>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11</w:t>
            </w:r>
            <w:r>
              <w:rPr>
                <w:rFonts w:ascii="Times New Roman" w:eastAsia="Calibri"/>
                <w:sz w:val="16"/>
                <w:szCs w:val="16"/>
                <w:lang w:eastAsia="en-US"/>
              </w:rPr>
              <w:t>±</w:t>
            </w:r>
            <w:r>
              <w:rPr>
                <w:rFonts w:ascii="Times New Roman" w:eastAsia="Calibri"/>
                <w:sz w:val="16"/>
                <w:szCs w:val="16"/>
                <w:lang w:eastAsia="en-US"/>
              </w:rPr>
              <w:t>3</w:t>
            </w:r>
          </w:p>
        </w:tc>
        <w:tc>
          <w:tcPr>
            <w:tcW w:w="671" w:type="pct"/>
            <w:tcBorders>
              <w:top w:val="single" w:sz="4" w:space="0" w:color="auto"/>
              <w:left w:val="single" w:sz="4" w:space="0" w:color="auto"/>
              <w:bottom w:val="single" w:sz="4" w:space="0" w:color="auto"/>
              <w:right w:val="single" w:sz="4" w:space="0" w:color="auto"/>
            </w:tcBorders>
            <w:vAlign w:val="center"/>
            <w:hideMark/>
          </w:tcPr>
          <w:p w14:paraId="565770C2"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w:t>
            </w:r>
            <w:r>
              <w:rPr>
                <w:rFonts w:ascii="Times New Roman" w:eastAsia="Calibri"/>
                <w:sz w:val="16"/>
                <w:szCs w:val="16"/>
                <w:lang w:eastAsia="en-US"/>
              </w:rPr>
              <w:t>±</w:t>
            </w:r>
            <w:r>
              <w:rPr>
                <w:rFonts w:ascii="Times New Roman" w:eastAsia="Calibri"/>
                <w:sz w:val="16"/>
                <w:szCs w:val="16"/>
                <w:lang w:eastAsia="en-US"/>
              </w:rPr>
              <w:t>3</w:t>
            </w:r>
          </w:p>
        </w:tc>
        <w:tc>
          <w:tcPr>
            <w:tcW w:w="492" w:type="pct"/>
            <w:tcBorders>
              <w:top w:val="single" w:sz="4" w:space="0" w:color="auto"/>
              <w:left w:val="single" w:sz="4" w:space="0" w:color="auto"/>
              <w:bottom w:val="single" w:sz="4" w:space="0" w:color="auto"/>
              <w:right w:val="single" w:sz="4" w:space="0" w:color="auto"/>
            </w:tcBorders>
            <w:vAlign w:val="center"/>
            <w:hideMark/>
          </w:tcPr>
          <w:p w14:paraId="738DB5A3"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w:t>
            </w:r>
            <w:r>
              <w:rPr>
                <w:rFonts w:ascii="Times New Roman" w:eastAsia="Calibri"/>
                <w:sz w:val="16"/>
                <w:szCs w:val="16"/>
                <w:lang w:eastAsia="en-US"/>
              </w:rPr>
              <w:t>±</w:t>
            </w:r>
            <w:r>
              <w:rPr>
                <w:rFonts w:ascii="Times New Roman" w:eastAsia="Calibri"/>
                <w:sz w:val="16"/>
                <w:szCs w:val="16"/>
                <w:lang w:eastAsia="en-US"/>
              </w:rPr>
              <w:t>2</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7E3563"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w:t>
            </w:r>
            <w:r>
              <w:rPr>
                <w:rFonts w:ascii="Times New Roman" w:eastAsia="Calibri"/>
                <w:sz w:val="16"/>
                <w:szCs w:val="16"/>
                <w:lang w:eastAsia="en-US"/>
              </w:rPr>
              <w:t>±</w:t>
            </w:r>
            <w:r>
              <w:rPr>
                <w:rFonts w:ascii="Times New Roman" w:eastAsia="Calibri"/>
                <w:sz w:val="16"/>
                <w:szCs w:val="16"/>
                <w:lang w:eastAsia="en-US"/>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6AD2E483"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w:t>
            </w:r>
            <w:r>
              <w:rPr>
                <w:rFonts w:ascii="Times New Roman" w:eastAsia="Calibri"/>
                <w:sz w:val="16"/>
                <w:szCs w:val="16"/>
                <w:lang w:eastAsia="en-US"/>
              </w:rPr>
              <w:t>±</w:t>
            </w:r>
            <w:r>
              <w:rPr>
                <w:rFonts w:ascii="Times New Roman" w:eastAsia="Calibri"/>
                <w:sz w:val="16"/>
                <w:szCs w:val="16"/>
                <w:lang w:eastAsia="en-US"/>
              </w:rPr>
              <w:t>2</w:t>
            </w:r>
          </w:p>
        </w:tc>
        <w:tc>
          <w:tcPr>
            <w:tcW w:w="337" w:type="pct"/>
            <w:tcBorders>
              <w:top w:val="single" w:sz="4" w:space="0" w:color="auto"/>
              <w:left w:val="single" w:sz="4" w:space="0" w:color="auto"/>
              <w:bottom w:val="single" w:sz="4" w:space="0" w:color="auto"/>
              <w:right w:val="single" w:sz="4" w:space="0" w:color="auto"/>
            </w:tcBorders>
            <w:vAlign w:val="center"/>
            <w:hideMark/>
          </w:tcPr>
          <w:p w14:paraId="379575B8"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0.01</w:t>
            </w:r>
          </w:p>
        </w:tc>
      </w:tr>
      <w:tr w:rsidR="00961BE6" w14:paraId="6E14F32A" w14:textId="77777777" w:rsidTr="00961BE6">
        <w:trPr>
          <w:trHeight w:val="107"/>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3D537E5F"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Hemotocrite(g/ dL)</w:t>
            </w:r>
          </w:p>
        </w:tc>
        <w:tc>
          <w:tcPr>
            <w:tcW w:w="492" w:type="pct"/>
            <w:tcBorders>
              <w:top w:val="single" w:sz="4" w:space="0" w:color="auto"/>
              <w:left w:val="single" w:sz="4" w:space="0" w:color="auto"/>
              <w:bottom w:val="single" w:sz="4" w:space="0" w:color="auto"/>
              <w:right w:val="single" w:sz="4" w:space="0" w:color="auto"/>
            </w:tcBorders>
            <w:vAlign w:val="center"/>
            <w:hideMark/>
          </w:tcPr>
          <w:p w14:paraId="4723D05D"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33</w:t>
            </w:r>
            <w:r>
              <w:rPr>
                <w:rFonts w:ascii="Times New Roman" w:eastAsia="Calibri"/>
                <w:sz w:val="16"/>
                <w:szCs w:val="16"/>
                <w:lang w:eastAsia="en-US"/>
              </w:rPr>
              <w:t>±</w:t>
            </w:r>
            <w:r>
              <w:rPr>
                <w:rFonts w:ascii="Times New Roman" w:eastAsia="Calibri"/>
                <w:sz w:val="16"/>
                <w:szCs w:val="16"/>
                <w:lang w:eastAsia="en-US"/>
              </w:rPr>
              <w:t>9</w:t>
            </w:r>
          </w:p>
        </w:tc>
        <w:tc>
          <w:tcPr>
            <w:tcW w:w="655" w:type="pct"/>
            <w:tcBorders>
              <w:top w:val="single" w:sz="4" w:space="0" w:color="auto"/>
              <w:left w:val="single" w:sz="4" w:space="0" w:color="auto"/>
              <w:bottom w:val="single" w:sz="4" w:space="0" w:color="auto"/>
              <w:right w:val="single" w:sz="4" w:space="0" w:color="auto"/>
            </w:tcBorders>
            <w:vAlign w:val="center"/>
            <w:hideMark/>
          </w:tcPr>
          <w:p w14:paraId="43FD4F0F"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35</w:t>
            </w:r>
            <w:r>
              <w:rPr>
                <w:rFonts w:ascii="Times New Roman" w:eastAsia="Calibri"/>
                <w:sz w:val="16"/>
                <w:szCs w:val="16"/>
                <w:lang w:eastAsia="en-US"/>
              </w:rPr>
              <w:t>±</w:t>
            </w:r>
            <w:r>
              <w:rPr>
                <w:rFonts w:ascii="Times New Roman" w:eastAsia="Calibri"/>
                <w:sz w:val="16"/>
                <w:szCs w:val="16"/>
                <w:lang w:eastAsia="en-US"/>
              </w:rPr>
              <w:t>8</w:t>
            </w:r>
          </w:p>
        </w:tc>
        <w:tc>
          <w:tcPr>
            <w:tcW w:w="671" w:type="pct"/>
            <w:tcBorders>
              <w:top w:val="single" w:sz="4" w:space="0" w:color="auto"/>
              <w:left w:val="single" w:sz="4" w:space="0" w:color="auto"/>
              <w:bottom w:val="single" w:sz="4" w:space="0" w:color="auto"/>
              <w:right w:val="single" w:sz="4" w:space="0" w:color="auto"/>
            </w:tcBorders>
            <w:vAlign w:val="center"/>
            <w:hideMark/>
          </w:tcPr>
          <w:p w14:paraId="67CED308"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34</w:t>
            </w:r>
            <w:r>
              <w:rPr>
                <w:rFonts w:ascii="Times New Roman" w:eastAsia="Calibri"/>
                <w:sz w:val="16"/>
                <w:szCs w:val="16"/>
                <w:lang w:eastAsia="en-US"/>
              </w:rPr>
              <w:t>±</w:t>
            </w:r>
            <w:r>
              <w:rPr>
                <w:rFonts w:ascii="Times New Roman" w:eastAsia="Calibri"/>
                <w:sz w:val="16"/>
                <w:szCs w:val="16"/>
                <w:lang w:eastAsia="en-US"/>
              </w:rPr>
              <w:t>9</w:t>
            </w:r>
          </w:p>
        </w:tc>
        <w:tc>
          <w:tcPr>
            <w:tcW w:w="492" w:type="pct"/>
            <w:tcBorders>
              <w:top w:val="single" w:sz="4" w:space="0" w:color="auto"/>
              <w:left w:val="single" w:sz="4" w:space="0" w:color="auto"/>
              <w:bottom w:val="single" w:sz="4" w:space="0" w:color="auto"/>
              <w:right w:val="single" w:sz="4" w:space="0" w:color="auto"/>
            </w:tcBorders>
            <w:vAlign w:val="center"/>
            <w:hideMark/>
          </w:tcPr>
          <w:p w14:paraId="0482B8EB"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33</w:t>
            </w:r>
            <w:r>
              <w:rPr>
                <w:rFonts w:ascii="Times New Roman" w:eastAsia="Calibri"/>
                <w:sz w:val="16"/>
                <w:szCs w:val="16"/>
                <w:lang w:eastAsia="en-US"/>
              </w:rPr>
              <w:t>±</w:t>
            </w:r>
            <w:r>
              <w:rPr>
                <w:rFonts w:ascii="Times New Roman" w:eastAsia="Calibri"/>
                <w:sz w:val="16"/>
                <w:szCs w:val="16"/>
                <w:lang w:eastAsia="en-US"/>
              </w:rPr>
              <w:t>7</w:t>
            </w:r>
          </w:p>
        </w:tc>
        <w:tc>
          <w:tcPr>
            <w:tcW w:w="632" w:type="pct"/>
            <w:tcBorders>
              <w:top w:val="single" w:sz="4" w:space="0" w:color="auto"/>
              <w:left w:val="single" w:sz="4" w:space="0" w:color="auto"/>
              <w:bottom w:val="single" w:sz="4" w:space="0" w:color="auto"/>
              <w:right w:val="single" w:sz="4" w:space="0" w:color="auto"/>
            </w:tcBorders>
            <w:vAlign w:val="center"/>
            <w:hideMark/>
          </w:tcPr>
          <w:p w14:paraId="25FCCF23"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34</w:t>
            </w:r>
            <w:r>
              <w:rPr>
                <w:rFonts w:ascii="Times New Roman" w:eastAsia="Calibri"/>
                <w:sz w:val="16"/>
                <w:szCs w:val="16"/>
                <w:lang w:eastAsia="en-US"/>
              </w:rPr>
              <w:t>±</w:t>
            </w:r>
            <w:r>
              <w:rPr>
                <w:rFonts w:ascii="Times New Roman" w:eastAsia="Calibri"/>
                <w:sz w:val="16"/>
                <w:szCs w:val="16"/>
                <w:lang w:eastAsia="en-US"/>
              </w:rPr>
              <w:t>8</w:t>
            </w:r>
          </w:p>
        </w:tc>
        <w:tc>
          <w:tcPr>
            <w:tcW w:w="492" w:type="pct"/>
            <w:tcBorders>
              <w:top w:val="single" w:sz="4" w:space="0" w:color="auto"/>
              <w:left w:val="single" w:sz="4" w:space="0" w:color="auto"/>
              <w:bottom w:val="single" w:sz="4" w:space="0" w:color="auto"/>
              <w:right w:val="single" w:sz="4" w:space="0" w:color="auto"/>
            </w:tcBorders>
            <w:vAlign w:val="center"/>
            <w:hideMark/>
          </w:tcPr>
          <w:p w14:paraId="6EA33B4B"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34</w:t>
            </w:r>
            <w:r>
              <w:rPr>
                <w:rFonts w:ascii="Times New Roman" w:eastAsia="Calibri"/>
                <w:sz w:val="16"/>
                <w:szCs w:val="16"/>
                <w:lang w:eastAsia="en-US"/>
              </w:rPr>
              <w:t>±</w:t>
            </w:r>
            <w:r>
              <w:rPr>
                <w:rFonts w:ascii="Times New Roman" w:eastAsia="Calibri"/>
                <w:sz w:val="16"/>
                <w:szCs w:val="16"/>
                <w:lang w:eastAsia="en-US"/>
              </w:rPr>
              <w:t>7</w:t>
            </w:r>
          </w:p>
        </w:tc>
        <w:tc>
          <w:tcPr>
            <w:tcW w:w="337" w:type="pct"/>
            <w:tcBorders>
              <w:top w:val="single" w:sz="4" w:space="0" w:color="auto"/>
              <w:left w:val="single" w:sz="4" w:space="0" w:color="auto"/>
              <w:bottom w:val="single" w:sz="4" w:space="0" w:color="auto"/>
              <w:right w:val="single" w:sz="4" w:space="0" w:color="auto"/>
            </w:tcBorders>
            <w:vAlign w:val="center"/>
            <w:hideMark/>
          </w:tcPr>
          <w:p w14:paraId="07269453"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0.01</w:t>
            </w:r>
          </w:p>
        </w:tc>
      </w:tr>
      <w:tr w:rsidR="00961BE6" w14:paraId="3D36D12F" w14:textId="77777777" w:rsidTr="00961BE6">
        <w:trPr>
          <w:trHeight w:val="315"/>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34C1893F"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 xml:space="preserve">No </w:t>
            </w:r>
            <w:proofErr w:type="gramStart"/>
            <w:r>
              <w:rPr>
                <w:rFonts w:ascii="Times New Roman" w:eastAsia="Calibri"/>
                <w:sz w:val="16"/>
                <w:szCs w:val="16"/>
                <w:lang w:eastAsia="en-US"/>
              </w:rPr>
              <w:t>Comorbidity,n</w:t>
            </w:r>
            <w:proofErr w:type="gramEnd"/>
            <w:r>
              <w:rPr>
                <w:rFonts w:ascii="Times New Roman" w:eastAsia="Calibri"/>
                <w:sz w:val="16"/>
                <w:szCs w:val="16"/>
                <w:lang w:eastAsia="en-US"/>
              </w:rPr>
              <w:t xml:space="preserve"> (%)</w:t>
            </w:r>
          </w:p>
        </w:tc>
        <w:tc>
          <w:tcPr>
            <w:tcW w:w="492" w:type="pct"/>
            <w:tcBorders>
              <w:top w:val="single" w:sz="4" w:space="0" w:color="auto"/>
              <w:left w:val="single" w:sz="4" w:space="0" w:color="auto"/>
              <w:bottom w:val="single" w:sz="4" w:space="0" w:color="auto"/>
              <w:right w:val="single" w:sz="4" w:space="0" w:color="auto"/>
            </w:tcBorders>
            <w:vAlign w:val="center"/>
            <w:hideMark/>
          </w:tcPr>
          <w:p w14:paraId="7FBAFA71" w14:textId="77777777" w:rsidR="00961BE6" w:rsidRDefault="00961BE6">
            <w:pPr>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111</w:t>
            </w:r>
            <w:r>
              <w:rPr>
                <w:rFonts w:ascii="Times New Roman" w:eastAsia="Calibri"/>
                <w:sz w:val="16"/>
                <w:szCs w:val="16"/>
                <w:lang w:eastAsia="en-US"/>
              </w:rPr>
              <w:t>±</w:t>
            </w:r>
            <w:r>
              <w:rPr>
                <w:rFonts w:ascii="Times New Roman" w:eastAsia="Calibri"/>
                <w:sz w:val="16"/>
                <w:szCs w:val="16"/>
                <w:lang w:eastAsia="en-US"/>
              </w:rPr>
              <w:t>24</w:t>
            </w:r>
          </w:p>
          <w:p w14:paraId="4326C8F9" w14:textId="77777777" w:rsidR="00961BE6" w:rsidRDefault="00961BE6">
            <w:pPr>
              <w:autoSpaceDE w:val="0"/>
              <w:autoSpaceDN w:val="0"/>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24(16,3%)</w:t>
            </w:r>
          </w:p>
        </w:tc>
        <w:tc>
          <w:tcPr>
            <w:tcW w:w="655" w:type="pct"/>
            <w:tcBorders>
              <w:top w:val="single" w:sz="4" w:space="0" w:color="auto"/>
              <w:left w:val="single" w:sz="4" w:space="0" w:color="auto"/>
              <w:bottom w:val="single" w:sz="4" w:space="0" w:color="auto"/>
              <w:right w:val="single" w:sz="4" w:space="0" w:color="auto"/>
            </w:tcBorders>
            <w:vAlign w:val="center"/>
            <w:hideMark/>
          </w:tcPr>
          <w:p w14:paraId="41F8BEF7" w14:textId="77777777" w:rsidR="00961BE6" w:rsidRDefault="00961BE6">
            <w:pPr>
              <w:adjustRightInd w:val="0"/>
              <w:ind w:right="60"/>
              <w:jc w:val="center"/>
              <w:rPr>
                <w:rFonts w:ascii="Times New Roman" w:eastAsia="Calibri" w:hAnsi="Times New Roman"/>
                <w:sz w:val="16"/>
                <w:szCs w:val="16"/>
                <w:lang w:eastAsia="en-US"/>
              </w:rPr>
            </w:pPr>
            <w:r>
              <w:rPr>
                <w:rFonts w:ascii="Times New Roman" w:eastAsia="Calibri"/>
                <w:sz w:val="16"/>
                <w:szCs w:val="16"/>
                <w:lang w:eastAsia="en-US"/>
              </w:rPr>
              <w:t>73,7</w:t>
            </w:r>
            <w:r>
              <w:rPr>
                <w:rFonts w:ascii="Times New Roman" w:eastAsia="Calibri"/>
                <w:sz w:val="16"/>
                <w:szCs w:val="16"/>
                <w:lang w:eastAsia="en-US"/>
              </w:rPr>
              <w:t>±</w:t>
            </w:r>
            <w:r>
              <w:rPr>
                <w:rFonts w:ascii="Times New Roman" w:eastAsia="Calibri"/>
                <w:sz w:val="16"/>
                <w:szCs w:val="16"/>
                <w:lang w:eastAsia="en-US"/>
              </w:rPr>
              <w:t>9</w:t>
            </w:r>
          </w:p>
          <w:p w14:paraId="7EC2E0A5"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64(43,5%)</w:t>
            </w:r>
          </w:p>
        </w:tc>
        <w:tc>
          <w:tcPr>
            <w:tcW w:w="671" w:type="pct"/>
            <w:tcBorders>
              <w:top w:val="single" w:sz="4" w:space="0" w:color="auto"/>
              <w:left w:val="single" w:sz="4" w:space="0" w:color="auto"/>
              <w:bottom w:val="single" w:sz="4" w:space="0" w:color="auto"/>
              <w:right w:val="single" w:sz="4" w:space="0" w:color="auto"/>
            </w:tcBorders>
            <w:vAlign w:val="center"/>
            <w:hideMark/>
          </w:tcPr>
          <w:p w14:paraId="15310EC2"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52,5</w:t>
            </w:r>
            <w:r>
              <w:rPr>
                <w:rFonts w:ascii="Times New Roman" w:eastAsia="Calibri"/>
                <w:sz w:val="16"/>
                <w:szCs w:val="16"/>
                <w:lang w:eastAsia="en-US"/>
              </w:rPr>
              <w:t>±</w:t>
            </w:r>
            <w:r>
              <w:rPr>
                <w:rFonts w:ascii="Times New Roman" w:eastAsia="Calibri"/>
                <w:sz w:val="16"/>
                <w:szCs w:val="16"/>
                <w:lang w:eastAsia="en-US"/>
              </w:rPr>
              <w:t>4,6</w:t>
            </w:r>
          </w:p>
          <w:p w14:paraId="160FE2D9"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29(19,7%)</w:t>
            </w:r>
          </w:p>
        </w:tc>
        <w:tc>
          <w:tcPr>
            <w:tcW w:w="492" w:type="pct"/>
            <w:tcBorders>
              <w:top w:val="single" w:sz="4" w:space="0" w:color="auto"/>
              <w:left w:val="single" w:sz="4" w:space="0" w:color="auto"/>
              <w:bottom w:val="single" w:sz="4" w:space="0" w:color="auto"/>
              <w:right w:val="single" w:sz="4" w:space="0" w:color="auto"/>
            </w:tcBorders>
            <w:vAlign w:val="center"/>
            <w:hideMark/>
          </w:tcPr>
          <w:p w14:paraId="7A7E6569"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38,8</w:t>
            </w:r>
            <w:r>
              <w:rPr>
                <w:rFonts w:ascii="Times New Roman" w:eastAsia="Calibri"/>
                <w:sz w:val="16"/>
                <w:szCs w:val="16"/>
                <w:lang w:eastAsia="en-US"/>
              </w:rPr>
              <w:t>±</w:t>
            </w:r>
            <w:r>
              <w:rPr>
                <w:rFonts w:ascii="Times New Roman" w:eastAsia="Calibri"/>
                <w:sz w:val="16"/>
                <w:szCs w:val="16"/>
                <w:lang w:eastAsia="en-US"/>
              </w:rPr>
              <w:t>4,1</w:t>
            </w:r>
          </w:p>
          <w:p w14:paraId="5E057164"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21(14,3%)</w:t>
            </w:r>
          </w:p>
        </w:tc>
        <w:tc>
          <w:tcPr>
            <w:tcW w:w="632" w:type="pct"/>
            <w:tcBorders>
              <w:top w:val="single" w:sz="4" w:space="0" w:color="auto"/>
              <w:left w:val="single" w:sz="4" w:space="0" w:color="auto"/>
              <w:bottom w:val="single" w:sz="4" w:space="0" w:color="auto"/>
              <w:right w:val="single" w:sz="4" w:space="0" w:color="auto"/>
            </w:tcBorders>
            <w:vAlign w:val="center"/>
            <w:hideMark/>
          </w:tcPr>
          <w:p w14:paraId="11DBFA19"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23,4</w:t>
            </w:r>
            <w:r>
              <w:rPr>
                <w:rFonts w:ascii="Times New Roman" w:eastAsia="Calibri"/>
                <w:sz w:val="16"/>
                <w:szCs w:val="16"/>
                <w:lang w:eastAsia="en-US"/>
              </w:rPr>
              <w:t>±</w:t>
            </w:r>
            <w:r>
              <w:rPr>
                <w:rFonts w:ascii="Times New Roman" w:eastAsia="Calibri"/>
                <w:sz w:val="16"/>
                <w:szCs w:val="16"/>
                <w:lang w:eastAsia="en-US"/>
              </w:rPr>
              <w:t>3,3</w:t>
            </w:r>
          </w:p>
          <w:p w14:paraId="3F1652B8"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7(4,8%)</w:t>
            </w:r>
          </w:p>
        </w:tc>
        <w:tc>
          <w:tcPr>
            <w:tcW w:w="492" w:type="pct"/>
            <w:tcBorders>
              <w:top w:val="single" w:sz="4" w:space="0" w:color="auto"/>
              <w:left w:val="single" w:sz="4" w:space="0" w:color="auto"/>
              <w:bottom w:val="single" w:sz="4" w:space="0" w:color="auto"/>
              <w:right w:val="single" w:sz="4" w:space="0" w:color="auto"/>
            </w:tcBorders>
            <w:vAlign w:val="center"/>
            <w:hideMark/>
          </w:tcPr>
          <w:p w14:paraId="56703B2D"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12,5</w:t>
            </w:r>
            <w:r>
              <w:rPr>
                <w:rFonts w:ascii="Times New Roman" w:eastAsia="Calibri"/>
                <w:sz w:val="16"/>
                <w:szCs w:val="16"/>
                <w:lang w:eastAsia="en-US"/>
              </w:rPr>
              <w:t>±</w:t>
            </w:r>
            <w:r>
              <w:rPr>
                <w:rFonts w:ascii="Times New Roman" w:eastAsia="Calibri"/>
                <w:sz w:val="16"/>
                <w:szCs w:val="16"/>
                <w:lang w:eastAsia="en-US"/>
              </w:rPr>
              <w:t>2,1</w:t>
            </w:r>
          </w:p>
          <w:p w14:paraId="2A9B217D"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2(1,4%)</w:t>
            </w:r>
          </w:p>
        </w:tc>
        <w:tc>
          <w:tcPr>
            <w:tcW w:w="337" w:type="pct"/>
            <w:tcBorders>
              <w:top w:val="single" w:sz="4" w:space="0" w:color="auto"/>
              <w:left w:val="single" w:sz="4" w:space="0" w:color="auto"/>
              <w:bottom w:val="single" w:sz="4" w:space="0" w:color="auto"/>
              <w:right w:val="single" w:sz="4" w:space="0" w:color="auto"/>
            </w:tcBorders>
            <w:vAlign w:val="center"/>
            <w:hideMark/>
          </w:tcPr>
          <w:p w14:paraId="1C6080B8"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0.010</w:t>
            </w:r>
          </w:p>
        </w:tc>
      </w:tr>
      <w:tr w:rsidR="00961BE6" w14:paraId="309AEA44" w14:textId="77777777" w:rsidTr="00961BE6">
        <w:trPr>
          <w:trHeight w:val="207"/>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7B03D6B5"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proofErr w:type="gramStart"/>
            <w:r>
              <w:rPr>
                <w:rFonts w:ascii="Times New Roman" w:eastAsia="Calibri"/>
                <w:sz w:val="16"/>
                <w:szCs w:val="16"/>
                <w:lang w:eastAsia="en-US"/>
              </w:rPr>
              <w:t>MDS,n</w:t>
            </w:r>
            <w:proofErr w:type="gramEnd"/>
            <w:r>
              <w:rPr>
                <w:rFonts w:ascii="Times New Roman" w:eastAsia="Calibri"/>
                <w:sz w:val="16"/>
                <w:szCs w:val="16"/>
                <w:lang w:eastAsia="en-US"/>
              </w:rPr>
              <w:t xml:space="preserve"> (%)</w:t>
            </w:r>
          </w:p>
        </w:tc>
        <w:tc>
          <w:tcPr>
            <w:tcW w:w="492" w:type="pct"/>
            <w:tcBorders>
              <w:top w:val="single" w:sz="4" w:space="0" w:color="auto"/>
              <w:left w:val="single" w:sz="4" w:space="0" w:color="auto"/>
              <w:bottom w:val="single" w:sz="4" w:space="0" w:color="auto"/>
              <w:right w:val="single" w:sz="4" w:space="0" w:color="auto"/>
            </w:tcBorders>
            <w:vAlign w:val="center"/>
            <w:hideMark/>
          </w:tcPr>
          <w:p w14:paraId="5D50C767"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136</w:t>
            </w:r>
            <w:r>
              <w:rPr>
                <w:rFonts w:ascii="Times New Roman" w:eastAsia="Calibri"/>
                <w:sz w:val="16"/>
                <w:szCs w:val="16"/>
                <w:lang w:eastAsia="en-US"/>
              </w:rPr>
              <w:t>±</w:t>
            </w:r>
            <w:r>
              <w:rPr>
                <w:rFonts w:ascii="Times New Roman" w:eastAsia="Calibri"/>
                <w:sz w:val="16"/>
                <w:szCs w:val="16"/>
                <w:lang w:eastAsia="en-US"/>
              </w:rPr>
              <w:t>36</w:t>
            </w:r>
          </w:p>
          <w:p w14:paraId="7EFE9899"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4(16%)</w:t>
            </w:r>
          </w:p>
        </w:tc>
        <w:tc>
          <w:tcPr>
            <w:tcW w:w="655" w:type="pct"/>
            <w:tcBorders>
              <w:top w:val="single" w:sz="4" w:space="0" w:color="auto"/>
              <w:left w:val="single" w:sz="4" w:space="0" w:color="auto"/>
              <w:bottom w:val="single" w:sz="4" w:space="0" w:color="auto"/>
              <w:right w:val="single" w:sz="4" w:space="0" w:color="auto"/>
            </w:tcBorders>
            <w:vAlign w:val="center"/>
            <w:hideMark/>
          </w:tcPr>
          <w:p w14:paraId="08313227"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69</w:t>
            </w:r>
            <w:r>
              <w:rPr>
                <w:rFonts w:ascii="Times New Roman" w:eastAsia="Calibri"/>
                <w:sz w:val="16"/>
                <w:szCs w:val="16"/>
                <w:lang w:eastAsia="en-US"/>
              </w:rPr>
              <w:t>±</w:t>
            </w:r>
            <w:r>
              <w:rPr>
                <w:rFonts w:ascii="Times New Roman" w:eastAsia="Calibri"/>
                <w:sz w:val="16"/>
                <w:szCs w:val="16"/>
                <w:lang w:eastAsia="en-US"/>
              </w:rPr>
              <w:t>6,7</w:t>
            </w:r>
          </w:p>
          <w:p w14:paraId="625DAC5A"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12(48%)</w:t>
            </w:r>
          </w:p>
        </w:tc>
        <w:tc>
          <w:tcPr>
            <w:tcW w:w="671" w:type="pct"/>
            <w:tcBorders>
              <w:top w:val="single" w:sz="4" w:space="0" w:color="auto"/>
              <w:left w:val="single" w:sz="4" w:space="0" w:color="auto"/>
              <w:bottom w:val="single" w:sz="4" w:space="0" w:color="auto"/>
              <w:right w:val="single" w:sz="4" w:space="0" w:color="auto"/>
            </w:tcBorders>
            <w:vAlign w:val="center"/>
            <w:hideMark/>
          </w:tcPr>
          <w:p w14:paraId="3EA9DCA6"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48,1</w:t>
            </w:r>
            <w:r>
              <w:rPr>
                <w:rFonts w:ascii="Times New Roman" w:eastAsia="Calibri"/>
                <w:sz w:val="16"/>
                <w:szCs w:val="16"/>
                <w:lang w:eastAsia="en-US"/>
              </w:rPr>
              <w:t>±</w:t>
            </w:r>
            <w:r>
              <w:rPr>
                <w:rFonts w:ascii="Times New Roman" w:eastAsia="Calibri"/>
                <w:sz w:val="16"/>
                <w:szCs w:val="16"/>
                <w:lang w:eastAsia="en-US"/>
              </w:rPr>
              <w:t>3,4</w:t>
            </w:r>
          </w:p>
          <w:p w14:paraId="1582B1FC"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3(12%)</w:t>
            </w:r>
          </w:p>
        </w:tc>
        <w:tc>
          <w:tcPr>
            <w:tcW w:w="492" w:type="pct"/>
            <w:tcBorders>
              <w:top w:val="single" w:sz="4" w:space="0" w:color="auto"/>
              <w:left w:val="single" w:sz="4" w:space="0" w:color="auto"/>
              <w:bottom w:val="single" w:sz="4" w:space="0" w:color="auto"/>
              <w:right w:val="single" w:sz="4" w:space="0" w:color="auto"/>
            </w:tcBorders>
            <w:vAlign w:val="center"/>
            <w:hideMark/>
          </w:tcPr>
          <w:p w14:paraId="51F2D6AE"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35,4</w:t>
            </w:r>
            <w:r>
              <w:rPr>
                <w:rFonts w:ascii="Times New Roman" w:eastAsia="Calibri"/>
                <w:sz w:val="16"/>
                <w:szCs w:val="16"/>
                <w:lang w:eastAsia="en-US"/>
              </w:rPr>
              <w:t>±</w:t>
            </w:r>
            <w:r>
              <w:rPr>
                <w:rFonts w:ascii="Times New Roman" w:eastAsia="Calibri"/>
                <w:sz w:val="16"/>
                <w:szCs w:val="16"/>
                <w:lang w:eastAsia="en-US"/>
              </w:rPr>
              <w:t>4,1</w:t>
            </w:r>
          </w:p>
          <w:p w14:paraId="6C22ABA6"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4(16%)</w:t>
            </w:r>
          </w:p>
        </w:tc>
        <w:tc>
          <w:tcPr>
            <w:tcW w:w="632" w:type="pct"/>
            <w:tcBorders>
              <w:top w:val="single" w:sz="4" w:space="0" w:color="auto"/>
              <w:left w:val="single" w:sz="4" w:space="0" w:color="auto"/>
              <w:bottom w:val="single" w:sz="4" w:space="0" w:color="auto"/>
              <w:right w:val="single" w:sz="4" w:space="0" w:color="auto"/>
            </w:tcBorders>
            <w:vAlign w:val="center"/>
            <w:hideMark/>
          </w:tcPr>
          <w:p w14:paraId="091FE25D"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20,7</w:t>
            </w:r>
            <w:r>
              <w:rPr>
                <w:rFonts w:ascii="Times New Roman" w:eastAsia="Calibri"/>
                <w:sz w:val="16"/>
                <w:szCs w:val="16"/>
                <w:lang w:eastAsia="en-US"/>
              </w:rPr>
              <w:t>±</w:t>
            </w:r>
            <w:r>
              <w:rPr>
                <w:rFonts w:ascii="Times New Roman" w:eastAsia="Calibri"/>
                <w:sz w:val="16"/>
                <w:szCs w:val="16"/>
                <w:lang w:eastAsia="en-US"/>
              </w:rPr>
              <w:t>6,12(8%)</w:t>
            </w:r>
          </w:p>
        </w:tc>
        <w:tc>
          <w:tcPr>
            <w:tcW w:w="492" w:type="pct"/>
            <w:tcBorders>
              <w:top w:val="single" w:sz="4" w:space="0" w:color="auto"/>
              <w:left w:val="single" w:sz="4" w:space="0" w:color="auto"/>
              <w:bottom w:val="single" w:sz="4" w:space="0" w:color="auto"/>
              <w:right w:val="single" w:sz="4" w:space="0" w:color="auto"/>
            </w:tcBorders>
            <w:vAlign w:val="center"/>
            <w:hideMark/>
          </w:tcPr>
          <w:p w14:paraId="273BC235"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w:t>
            </w:r>
          </w:p>
        </w:tc>
        <w:tc>
          <w:tcPr>
            <w:tcW w:w="337" w:type="pct"/>
            <w:tcBorders>
              <w:top w:val="single" w:sz="4" w:space="0" w:color="auto"/>
              <w:left w:val="single" w:sz="4" w:space="0" w:color="auto"/>
              <w:bottom w:val="single" w:sz="4" w:space="0" w:color="auto"/>
              <w:right w:val="single" w:sz="4" w:space="0" w:color="auto"/>
            </w:tcBorders>
            <w:vAlign w:val="center"/>
            <w:hideMark/>
          </w:tcPr>
          <w:p w14:paraId="3A963C7A"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0.396</w:t>
            </w:r>
          </w:p>
        </w:tc>
      </w:tr>
      <w:tr w:rsidR="00961BE6" w14:paraId="479B0C16" w14:textId="77777777" w:rsidTr="00961BE6">
        <w:trPr>
          <w:trHeight w:val="414"/>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4219F34B"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proofErr w:type="gramStart"/>
            <w:r>
              <w:rPr>
                <w:rFonts w:ascii="Times New Roman" w:eastAsia="Calibri"/>
                <w:sz w:val="16"/>
                <w:szCs w:val="16"/>
                <w:lang w:eastAsia="en-US"/>
              </w:rPr>
              <w:t>Diabetes,n</w:t>
            </w:r>
            <w:proofErr w:type="gramEnd"/>
            <w:r>
              <w:rPr>
                <w:rFonts w:ascii="Times New Roman" w:eastAsia="Calibri"/>
                <w:sz w:val="16"/>
                <w:szCs w:val="16"/>
                <w:lang w:eastAsia="en-US"/>
              </w:rPr>
              <w:t xml:space="preserve"> (%)</w:t>
            </w:r>
          </w:p>
        </w:tc>
        <w:tc>
          <w:tcPr>
            <w:tcW w:w="492" w:type="pct"/>
            <w:tcBorders>
              <w:top w:val="single" w:sz="4" w:space="0" w:color="auto"/>
              <w:left w:val="single" w:sz="4" w:space="0" w:color="auto"/>
              <w:bottom w:val="single" w:sz="4" w:space="0" w:color="auto"/>
              <w:right w:val="single" w:sz="4" w:space="0" w:color="auto"/>
            </w:tcBorders>
            <w:vAlign w:val="center"/>
            <w:hideMark/>
          </w:tcPr>
          <w:p w14:paraId="78974DBF"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105</w:t>
            </w:r>
            <w:r>
              <w:rPr>
                <w:rFonts w:ascii="Times New Roman" w:eastAsia="Calibri"/>
                <w:sz w:val="16"/>
                <w:szCs w:val="16"/>
                <w:lang w:eastAsia="en-US"/>
              </w:rPr>
              <w:t>±</w:t>
            </w:r>
            <w:r>
              <w:rPr>
                <w:rFonts w:ascii="Times New Roman" w:eastAsia="Calibri"/>
                <w:sz w:val="16"/>
                <w:szCs w:val="16"/>
                <w:lang w:eastAsia="en-US"/>
              </w:rPr>
              <w:t>11,5</w:t>
            </w:r>
          </w:p>
          <w:p w14:paraId="5F8E9FDB"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21(12,7%)</w:t>
            </w:r>
          </w:p>
        </w:tc>
        <w:tc>
          <w:tcPr>
            <w:tcW w:w="655" w:type="pct"/>
            <w:tcBorders>
              <w:top w:val="single" w:sz="4" w:space="0" w:color="auto"/>
              <w:left w:val="single" w:sz="4" w:space="0" w:color="auto"/>
              <w:bottom w:val="single" w:sz="4" w:space="0" w:color="auto"/>
              <w:right w:val="single" w:sz="4" w:space="0" w:color="auto"/>
            </w:tcBorders>
            <w:vAlign w:val="center"/>
            <w:hideMark/>
          </w:tcPr>
          <w:p w14:paraId="7D977DFB"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72,6</w:t>
            </w:r>
            <w:r>
              <w:rPr>
                <w:rFonts w:ascii="Times New Roman" w:eastAsia="Calibri"/>
                <w:sz w:val="16"/>
                <w:szCs w:val="16"/>
                <w:lang w:eastAsia="en-US"/>
              </w:rPr>
              <w:t>±</w:t>
            </w:r>
            <w:r>
              <w:rPr>
                <w:rFonts w:ascii="Times New Roman" w:eastAsia="Calibri"/>
                <w:sz w:val="16"/>
                <w:szCs w:val="16"/>
                <w:lang w:eastAsia="en-US"/>
              </w:rPr>
              <w:t>7,7</w:t>
            </w:r>
          </w:p>
          <w:p w14:paraId="37C8F5D4"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43(25,9%)</w:t>
            </w:r>
          </w:p>
        </w:tc>
        <w:tc>
          <w:tcPr>
            <w:tcW w:w="671" w:type="pct"/>
            <w:tcBorders>
              <w:top w:val="single" w:sz="4" w:space="0" w:color="auto"/>
              <w:left w:val="single" w:sz="4" w:space="0" w:color="auto"/>
              <w:bottom w:val="single" w:sz="4" w:space="0" w:color="auto"/>
              <w:right w:val="single" w:sz="4" w:space="0" w:color="auto"/>
            </w:tcBorders>
            <w:vAlign w:val="center"/>
            <w:hideMark/>
          </w:tcPr>
          <w:p w14:paraId="338B9238"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51,8</w:t>
            </w:r>
            <w:r>
              <w:rPr>
                <w:rFonts w:ascii="Times New Roman" w:eastAsia="Calibri"/>
                <w:sz w:val="16"/>
                <w:szCs w:val="16"/>
                <w:lang w:eastAsia="en-US"/>
              </w:rPr>
              <w:t>±</w:t>
            </w:r>
            <w:r>
              <w:rPr>
                <w:rFonts w:ascii="Times New Roman" w:eastAsia="Calibri"/>
                <w:sz w:val="16"/>
                <w:szCs w:val="16"/>
                <w:lang w:eastAsia="en-US"/>
              </w:rPr>
              <w:t>3,6</w:t>
            </w:r>
          </w:p>
          <w:p w14:paraId="0C753DC5"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27(16,3%)</w:t>
            </w:r>
          </w:p>
        </w:tc>
        <w:tc>
          <w:tcPr>
            <w:tcW w:w="492" w:type="pct"/>
            <w:tcBorders>
              <w:top w:val="single" w:sz="4" w:space="0" w:color="auto"/>
              <w:left w:val="single" w:sz="4" w:space="0" w:color="auto"/>
              <w:bottom w:val="single" w:sz="4" w:space="0" w:color="auto"/>
              <w:right w:val="single" w:sz="4" w:space="0" w:color="auto"/>
            </w:tcBorders>
            <w:vAlign w:val="center"/>
            <w:hideMark/>
          </w:tcPr>
          <w:p w14:paraId="08CF76BA"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37,5</w:t>
            </w:r>
            <w:r>
              <w:rPr>
                <w:rFonts w:ascii="Times New Roman" w:eastAsia="Calibri"/>
                <w:sz w:val="16"/>
                <w:szCs w:val="16"/>
                <w:lang w:eastAsia="en-US"/>
              </w:rPr>
              <w:t>±</w:t>
            </w:r>
            <w:r>
              <w:rPr>
                <w:rFonts w:ascii="Times New Roman" w:eastAsia="Calibri"/>
                <w:sz w:val="16"/>
                <w:szCs w:val="16"/>
                <w:lang w:eastAsia="en-US"/>
              </w:rPr>
              <w:t>4,6</w:t>
            </w:r>
          </w:p>
          <w:p w14:paraId="1A0A6DFA"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42(25,3%)</w:t>
            </w:r>
          </w:p>
        </w:tc>
        <w:tc>
          <w:tcPr>
            <w:tcW w:w="632" w:type="pct"/>
            <w:tcBorders>
              <w:top w:val="single" w:sz="4" w:space="0" w:color="auto"/>
              <w:left w:val="single" w:sz="4" w:space="0" w:color="auto"/>
              <w:bottom w:val="single" w:sz="4" w:space="0" w:color="auto"/>
              <w:right w:val="single" w:sz="4" w:space="0" w:color="auto"/>
            </w:tcBorders>
            <w:vAlign w:val="center"/>
            <w:hideMark/>
          </w:tcPr>
          <w:p w14:paraId="1D29D056"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23,2</w:t>
            </w:r>
            <w:r>
              <w:rPr>
                <w:rFonts w:ascii="Times New Roman" w:eastAsia="Calibri"/>
                <w:sz w:val="16"/>
                <w:szCs w:val="16"/>
                <w:lang w:eastAsia="en-US"/>
              </w:rPr>
              <w:t>±</w:t>
            </w:r>
            <w:r>
              <w:rPr>
                <w:rFonts w:ascii="Times New Roman" w:eastAsia="Calibri"/>
                <w:sz w:val="16"/>
                <w:szCs w:val="16"/>
                <w:lang w:eastAsia="en-US"/>
              </w:rPr>
              <w:t>4,4</w:t>
            </w:r>
          </w:p>
          <w:p w14:paraId="682A35C7"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18(10,8%)</w:t>
            </w:r>
          </w:p>
        </w:tc>
        <w:tc>
          <w:tcPr>
            <w:tcW w:w="492" w:type="pct"/>
            <w:tcBorders>
              <w:top w:val="single" w:sz="4" w:space="0" w:color="auto"/>
              <w:left w:val="single" w:sz="4" w:space="0" w:color="auto"/>
              <w:bottom w:val="single" w:sz="4" w:space="0" w:color="auto"/>
              <w:right w:val="single" w:sz="4" w:space="0" w:color="auto"/>
            </w:tcBorders>
            <w:vAlign w:val="center"/>
            <w:hideMark/>
          </w:tcPr>
          <w:p w14:paraId="365DF886"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w:t>
            </w:r>
            <w:r>
              <w:rPr>
                <w:rFonts w:ascii="Times New Roman" w:eastAsia="Calibri"/>
                <w:sz w:val="16"/>
                <w:szCs w:val="16"/>
                <w:lang w:eastAsia="en-US"/>
              </w:rPr>
              <w:t>±</w:t>
            </w:r>
            <w:r>
              <w:rPr>
                <w:rFonts w:ascii="Times New Roman" w:eastAsia="Calibri"/>
                <w:sz w:val="16"/>
                <w:szCs w:val="16"/>
                <w:lang w:eastAsia="en-US"/>
              </w:rPr>
              <w:t>3,4</w:t>
            </w:r>
          </w:p>
          <w:p w14:paraId="4E13EF5E"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15(9%)</w:t>
            </w:r>
          </w:p>
        </w:tc>
        <w:tc>
          <w:tcPr>
            <w:tcW w:w="337" w:type="pct"/>
            <w:tcBorders>
              <w:top w:val="single" w:sz="4" w:space="0" w:color="auto"/>
              <w:left w:val="single" w:sz="4" w:space="0" w:color="auto"/>
              <w:bottom w:val="single" w:sz="4" w:space="0" w:color="auto"/>
              <w:right w:val="single" w:sz="4" w:space="0" w:color="auto"/>
            </w:tcBorders>
            <w:vAlign w:val="center"/>
            <w:hideMark/>
          </w:tcPr>
          <w:p w14:paraId="6DD2B5F3"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0.020</w:t>
            </w:r>
          </w:p>
        </w:tc>
      </w:tr>
      <w:tr w:rsidR="00961BE6" w14:paraId="20A19925" w14:textId="77777777" w:rsidTr="00961BE6">
        <w:trPr>
          <w:trHeight w:val="315"/>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222B758C"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proofErr w:type="gramStart"/>
            <w:r>
              <w:rPr>
                <w:rFonts w:ascii="Times New Roman" w:eastAsia="Calibri"/>
                <w:sz w:val="16"/>
                <w:szCs w:val="16"/>
                <w:lang w:eastAsia="en-US"/>
              </w:rPr>
              <w:t>Alzheimer</w:t>
            </w:r>
            <w:r>
              <w:rPr>
                <w:rFonts w:ascii="Times New Roman" w:eastAsia="Calibri"/>
                <w:sz w:val="16"/>
                <w:szCs w:val="16"/>
                <w:lang w:eastAsia="en-US"/>
              </w:rPr>
              <w:t>’</w:t>
            </w:r>
            <w:r>
              <w:rPr>
                <w:rFonts w:ascii="Times New Roman" w:eastAsia="Calibri"/>
                <w:sz w:val="16"/>
                <w:szCs w:val="16"/>
                <w:lang w:eastAsia="en-US"/>
              </w:rPr>
              <w:t>s,n</w:t>
            </w:r>
            <w:proofErr w:type="gramEnd"/>
            <w:r>
              <w:rPr>
                <w:rFonts w:ascii="Times New Roman" w:eastAsia="Calibri"/>
                <w:sz w:val="16"/>
                <w:szCs w:val="16"/>
                <w:lang w:eastAsia="en-US"/>
              </w:rPr>
              <w:t xml:space="preserve"> (%)</w:t>
            </w:r>
          </w:p>
        </w:tc>
        <w:tc>
          <w:tcPr>
            <w:tcW w:w="492" w:type="pct"/>
            <w:tcBorders>
              <w:top w:val="single" w:sz="4" w:space="0" w:color="auto"/>
              <w:left w:val="single" w:sz="4" w:space="0" w:color="auto"/>
              <w:bottom w:val="single" w:sz="4" w:space="0" w:color="auto"/>
              <w:right w:val="single" w:sz="4" w:space="0" w:color="auto"/>
            </w:tcBorders>
            <w:vAlign w:val="center"/>
            <w:hideMark/>
          </w:tcPr>
          <w:p w14:paraId="78492F42"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112</w:t>
            </w:r>
            <w:r>
              <w:rPr>
                <w:rFonts w:ascii="Times New Roman" w:eastAsia="Calibri"/>
                <w:sz w:val="16"/>
                <w:szCs w:val="16"/>
                <w:lang w:eastAsia="en-US"/>
              </w:rPr>
              <w:t>±</w:t>
            </w:r>
            <w:r>
              <w:rPr>
                <w:rFonts w:ascii="Times New Roman" w:eastAsia="Calibri"/>
                <w:sz w:val="16"/>
                <w:szCs w:val="16"/>
                <w:lang w:eastAsia="en-US"/>
              </w:rPr>
              <w:t>12</w:t>
            </w:r>
          </w:p>
          <w:p w14:paraId="2AA6E80C"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11(25%)</w:t>
            </w:r>
          </w:p>
        </w:tc>
        <w:tc>
          <w:tcPr>
            <w:tcW w:w="655" w:type="pct"/>
            <w:tcBorders>
              <w:top w:val="single" w:sz="4" w:space="0" w:color="auto"/>
              <w:left w:val="single" w:sz="4" w:space="0" w:color="auto"/>
              <w:bottom w:val="single" w:sz="4" w:space="0" w:color="auto"/>
              <w:right w:val="single" w:sz="4" w:space="0" w:color="auto"/>
            </w:tcBorders>
            <w:vAlign w:val="center"/>
            <w:hideMark/>
          </w:tcPr>
          <w:p w14:paraId="6020CB94"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74,6</w:t>
            </w:r>
            <w:r>
              <w:rPr>
                <w:rFonts w:ascii="Times New Roman" w:eastAsia="Calibri"/>
                <w:sz w:val="16"/>
                <w:szCs w:val="16"/>
                <w:lang w:eastAsia="en-US"/>
              </w:rPr>
              <w:t>±</w:t>
            </w:r>
            <w:r>
              <w:rPr>
                <w:rFonts w:ascii="Times New Roman" w:eastAsia="Calibri"/>
                <w:sz w:val="16"/>
                <w:szCs w:val="16"/>
                <w:lang w:eastAsia="en-US"/>
              </w:rPr>
              <w:t>7,8</w:t>
            </w:r>
          </w:p>
          <w:p w14:paraId="652EE7F2"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9(20,5%)</w:t>
            </w:r>
          </w:p>
        </w:tc>
        <w:tc>
          <w:tcPr>
            <w:tcW w:w="671" w:type="pct"/>
            <w:tcBorders>
              <w:top w:val="single" w:sz="4" w:space="0" w:color="auto"/>
              <w:left w:val="single" w:sz="4" w:space="0" w:color="auto"/>
              <w:bottom w:val="single" w:sz="4" w:space="0" w:color="auto"/>
              <w:right w:val="single" w:sz="4" w:space="0" w:color="auto"/>
            </w:tcBorders>
            <w:vAlign w:val="center"/>
            <w:hideMark/>
          </w:tcPr>
          <w:p w14:paraId="5385206E"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50,5</w:t>
            </w:r>
            <w:r>
              <w:rPr>
                <w:rFonts w:ascii="Times New Roman" w:eastAsia="Calibri"/>
                <w:sz w:val="16"/>
                <w:szCs w:val="16"/>
                <w:lang w:eastAsia="en-US"/>
              </w:rPr>
              <w:t>±</w:t>
            </w:r>
            <w:r>
              <w:rPr>
                <w:rFonts w:ascii="Times New Roman" w:eastAsia="Calibri"/>
                <w:sz w:val="16"/>
                <w:szCs w:val="16"/>
                <w:lang w:eastAsia="en-US"/>
              </w:rPr>
              <w:t>3,3</w:t>
            </w:r>
          </w:p>
          <w:p w14:paraId="3539FCEB"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6(13,6%)</w:t>
            </w:r>
          </w:p>
        </w:tc>
        <w:tc>
          <w:tcPr>
            <w:tcW w:w="492" w:type="pct"/>
            <w:tcBorders>
              <w:top w:val="single" w:sz="4" w:space="0" w:color="auto"/>
              <w:left w:val="single" w:sz="4" w:space="0" w:color="auto"/>
              <w:bottom w:val="single" w:sz="4" w:space="0" w:color="auto"/>
              <w:right w:val="single" w:sz="4" w:space="0" w:color="auto"/>
            </w:tcBorders>
            <w:vAlign w:val="center"/>
            <w:hideMark/>
          </w:tcPr>
          <w:p w14:paraId="0CA89EDD"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35,7</w:t>
            </w:r>
            <w:r>
              <w:rPr>
                <w:rFonts w:ascii="Times New Roman" w:eastAsia="Calibri"/>
                <w:sz w:val="16"/>
                <w:szCs w:val="16"/>
                <w:lang w:eastAsia="en-US"/>
              </w:rPr>
              <w:t>±</w:t>
            </w:r>
            <w:r>
              <w:rPr>
                <w:rFonts w:ascii="Times New Roman" w:eastAsia="Calibri"/>
                <w:sz w:val="16"/>
                <w:szCs w:val="16"/>
                <w:lang w:eastAsia="en-US"/>
              </w:rPr>
              <w:t>5</w:t>
            </w:r>
          </w:p>
          <w:p w14:paraId="3BE32F72"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6(13,6%)</w:t>
            </w:r>
          </w:p>
        </w:tc>
        <w:tc>
          <w:tcPr>
            <w:tcW w:w="632" w:type="pct"/>
            <w:tcBorders>
              <w:top w:val="single" w:sz="4" w:space="0" w:color="auto"/>
              <w:left w:val="single" w:sz="4" w:space="0" w:color="auto"/>
              <w:bottom w:val="single" w:sz="4" w:space="0" w:color="auto"/>
              <w:right w:val="single" w:sz="4" w:space="0" w:color="auto"/>
            </w:tcBorders>
            <w:vAlign w:val="center"/>
            <w:hideMark/>
          </w:tcPr>
          <w:p w14:paraId="159FF3DF"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24,9</w:t>
            </w:r>
            <w:r>
              <w:rPr>
                <w:rFonts w:ascii="Times New Roman" w:eastAsia="Calibri"/>
                <w:sz w:val="16"/>
                <w:szCs w:val="16"/>
                <w:lang w:eastAsia="en-US"/>
              </w:rPr>
              <w:t>±</w:t>
            </w:r>
            <w:r>
              <w:rPr>
                <w:rFonts w:ascii="Times New Roman" w:eastAsia="Calibri"/>
                <w:sz w:val="16"/>
                <w:szCs w:val="16"/>
                <w:lang w:eastAsia="en-US"/>
              </w:rPr>
              <w:t>3,8</w:t>
            </w:r>
          </w:p>
          <w:p w14:paraId="345B621E"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9(20,5%)</w:t>
            </w:r>
          </w:p>
        </w:tc>
        <w:tc>
          <w:tcPr>
            <w:tcW w:w="492" w:type="pct"/>
            <w:tcBorders>
              <w:top w:val="single" w:sz="4" w:space="0" w:color="auto"/>
              <w:left w:val="single" w:sz="4" w:space="0" w:color="auto"/>
              <w:bottom w:val="single" w:sz="4" w:space="0" w:color="auto"/>
              <w:right w:val="single" w:sz="4" w:space="0" w:color="auto"/>
            </w:tcBorders>
            <w:vAlign w:val="center"/>
            <w:hideMark/>
          </w:tcPr>
          <w:p w14:paraId="30CFE3E7"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8,1</w:t>
            </w:r>
            <w:r>
              <w:rPr>
                <w:rFonts w:ascii="Times New Roman" w:eastAsia="Calibri"/>
                <w:sz w:val="16"/>
                <w:szCs w:val="16"/>
                <w:lang w:eastAsia="en-US"/>
              </w:rPr>
              <w:t>±</w:t>
            </w:r>
            <w:r>
              <w:rPr>
                <w:rFonts w:ascii="Times New Roman" w:eastAsia="Calibri"/>
                <w:sz w:val="16"/>
                <w:szCs w:val="16"/>
                <w:lang w:eastAsia="en-US"/>
              </w:rPr>
              <w:t>4</w:t>
            </w:r>
          </w:p>
          <w:p w14:paraId="3266E7F1"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3(6,8%)</w:t>
            </w:r>
          </w:p>
        </w:tc>
        <w:tc>
          <w:tcPr>
            <w:tcW w:w="337" w:type="pct"/>
            <w:tcBorders>
              <w:top w:val="single" w:sz="4" w:space="0" w:color="auto"/>
              <w:left w:val="single" w:sz="4" w:space="0" w:color="auto"/>
              <w:bottom w:val="single" w:sz="4" w:space="0" w:color="auto"/>
              <w:right w:val="single" w:sz="4" w:space="0" w:color="auto"/>
            </w:tcBorders>
            <w:vAlign w:val="center"/>
            <w:hideMark/>
          </w:tcPr>
          <w:p w14:paraId="30DCC5EB"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0.078</w:t>
            </w:r>
          </w:p>
        </w:tc>
      </w:tr>
      <w:tr w:rsidR="00961BE6" w14:paraId="75EECEE9" w14:textId="77777777" w:rsidTr="00961BE6">
        <w:trPr>
          <w:trHeight w:val="315"/>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727CF2EF"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proofErr w:type="gramStart"/>
            <w:r>
              <w:rPr>
                <w:rFonts w:ascii="Times New Roman" w:eastAsia="Calibri"/>
                <w:sz w:val="16"/>
                <w:szCs w:val="16"/>
                <w:lang w:eastAsia="en-US"/>
              </w:rPr>
              <w:t>CAD,n</w:t>
            </w:r>
            <w:proofErr w:type="gramEnd"/>
            <w:r>
              <w:rPr>
                <w:rFonts w:ascii="Times New Roman" w:eastAsia="Calibri"/>
                <w:sz w:val="16"/>
                <w:szCs w:val="16"/>
                <w:lang w:eastAsia="en-US"/>
              </w:rPr>
              <w:t xml:space="preserve"> (%)</w:t>
            </w:r>
          </w:p>
        </w:tc>
        <w:tc>
          <w:tcPr>
            <w:tcW w:w="492" w:type="pct"/>
            <w:tcBorders>
              <w:top w:val="single" w:sz="4" w:space="0" w:color="auto"/>
              <w:left w:val="single" w:sz="4" w:space="0" w:color="auto"/>
              <w:bottom w:val="single" w:sz="4" w:space="0" w:color="auto"/>
              <w:right w:val="single" w:sz="4" w:space="0" w:color="auto"/>
            </w:tcBorders>
            <w:vAlign w:val="center"/>
            <w:hideMark/>
          </w:tcPr>
          <w:p w14:paraId="3E80BA81"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103</w:t>
            </w:r>
            <w:r>
              <w:rPr>
                <w:rFonts w:ascii="Times New Roman" w:eastAsia="Calibri"/>
                <w:sz w:val="16"/>
                <w:szCs w:val="16"/>
                <w:lang w:eastAsia="en-US"/>
              </w:rPr>
              <w:t>±</w:t>
            </w:r>
            <w:r>
              <w:rPr>
                <w:rFonts w:ascii="Times New Roman" w:eastAsia="Calibri"/>
                <w:sz w:val="16"/>
                <w:szCs w:val="16"/>
                <w:lang w:eastAsia="en-US"/>
              </w:rPr>
              <w:t>0,6</w:t>
            </w:r>
          </w:p>
          <w:p w14:paraId="6B7FAE1E"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2(9,5%)</w:t>
            </w:r>
          </w:p>
        </w:tc>
        <w:tc>
          <w:tcPr>
            <w:tcW w:w="655" w:type="pct"/>
            <w:tcBorders>
              <w:top w:val="single" w:sz="4" w:space="0" w:color="auto"/>
              <w:left w:val="single" w:sz="4" w:space="0" w:color="auto"/>
              <w:bottom w:val="single" w:sz="4" w:space="0" w:color="auto"/>
              <w:right w:val="single" w:sz="4" w:space="0" w:color="auto"/>
            </w:tcBorders>
            <w:vAlign w:val="center"/>
            <w:hideMark/>
          </w:tcPr>
          <w:p w14:paraId="1C47AB23"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70,5</w:t>
            </w:r>
            <w:r>
              <w:rPr>
                <w:rFonts w:ascii="Times New Roman" w:eastAsia="Calibri"/>
                <w:sz w:val="16"/>
                <w:szCs w:val="16"/>
                <w:lang w:eastAsia="en-US"/>
              </w:rPr>
              <w:t>±</w:t>
            </w:r>
            <w:proofErr w:type="gramStart"/>
            <w:r>
              <w:rPr>
                <w:rFonts w:ascii="Times New Roman" w:eastAsia="Calibri"/>
                <w:sz w:val="16"/>
                <w:szCs w:val="16"/>
                <w:lang w:eastAsia="en-US"/>
              </w:rPr>
              <w:t>10,552,2</w:t>
            </w:r>
            <w:proofErr w:type="gramEnd"/>
            <w:r>
              <w:rPr>
                <w:rFonts w:ascii="Times New Roman" w:eastAsia="Calibri"/>
                <w:sz w:val="16"/>
                <w:szCs w:val="16"/>
                <w:lang w:eastAsia="en-US"/>
              </w:rPr>
              <w:t>±</w:t>
            </w:r>
          </w:p>
          <w:p w14:paraId="047D2952"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8(31%)</w:t>
            </w:r>
          </w:p>
        </w:tc>
        <w:tc>
          <w:tcPr>
            <w:tcW w:w="671" w:type="pct"/>
            <w:tcBorders>
              <w:top w:val="single" w:sz="4" w:space="0" w:color="auto"/>
              <w:left w:val="single" w:sz="4" w:space="0" w:color="auto"/>
              <w:bottom w:val="single" w:sz="4" w:space="0" w:color="auto"/>
              <w:right w:val="single" w:sz="4" w:space="0" w:color="auto"/>
            </w:tcBorders>
            <w:vAlign w:val="center"/>
            <w:hideMark/>
          </w:tcPr>
          <w:p w14:paraId="50A6ECD4"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52,2</w:t>
            </w:r>
            <w:r>
              <w:rPr>
                <w:rFonts w:ascii="Times New Roman" w:eastAsia="Calibri"/>
                <w:sz w:val="16"/>
                <w:szCs w:val="16"/>
                <w:lang w:eastAsia="en-US"/>
              </w:rPr>
              <w:t>±</w:t>
            </w:r>
            <w:r>
              <w:rPr>
                <w:rFonts w:ascii="Times New Roman" w:eastAsia="Calibri"/>
                <w:sz w:val="16"/>
                <w:szCs w:val="16"/>
                <w:lang w:eastAsia="en-US"/>
              </w:rPr>
              <w:t>5,5</w:t>
            </w:r>
          </w:p>
          <w:p w14:paraId="2ED86A24"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2(9,5%)</w:t>
            </w:r>
          </w:p>
        </w:tc>
        <w:tc>
          <w:tcPr>
            <w:tcW w:w="492" w:type="pct"/>
            <w:tcBorders>
              <w:top w:val="single" w:sz="4" w:space="0" w:color="auto"/>
              <w:left w:val="single" w:sz="4" w:space="0" w:color="auto"/>
              <w:bottom w:val="single" w:sz="4" w:space="0" w:color="auto"/>
              <w:right w:val="single" w:sz="4" w:space="0" w:color="auto"/>
            </w:tcBorders>
            <w:vAlign w:val="center"/>
            <w:hideMark/>
          </w:tcPr>
          <w:p w14:paraId="3F6CBAD9"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35,3</w:t>
            </w:r>
            <w:r>
              <w:rPr>
                <w:rFonts w:ascii="Times New Roman" w:eastAsia="Calibri"/>
                <w:sz w:val="16"/>
                <w:szCs w:val="16"/>
                <w:lang w:eastAsia="en-US"/>
              </w:rPr>
              <w:t>±</w:t>
            </w:r>
            <w:r>
              <w:rPr>
                <w:rFonts w:ascii="Times New Roman" w:eastAsia="Calibri"/>
                <w:sz w:val="16"/>
                <w:szCs w:val="16"/>
                <w:lang w:eastAsia="en-US"/>
              </w:rPr>
              <w:t>3</w:t>
            </w:r>
          </w:p>
          <w:p w14:paraId="4948F385"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3(14,3%)</w:t>
            </w:r>
          </w:p>
        </w:tc>
        <w:tc>
          <w:tcPr>
            <w:tcW w:w="632" w:type="pct"/>
            <w:tcBorders>
              <w:top w:val="single" w:sz="4" w:space="0" w:color="auto"/>
              <w:left w:val="single" w:sz="4" w:space="0" w:color="auto"/>
              <w:bottom w:val="single" w:sz="4" w:space="0" w:color="auto"/>
              <w:right w:val="single" w:sz="4" w:space="0" w:color="auto"/>
            </w:tcBorders>
            <w:vAlign w:val="center"/>
            <w:hideMark/>
          </w:tcPr>
          <w:p w14:paraId="0EB3033F"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24,5</w:t>
            </w:r>
            <w:r>
              <w:rPr>
                <w:rFonts w:ascii="Times New Roman" w:eastAsia="Calibri"/>
                <w:sz w:val="16"/>
                <w:szCs w:val="16"/>
                <w:lang w:eastAsia="en-US"/>
              </w:rPr>
              <w:t>±</w:t>
            </w:r>
            <w:r>
              <w:rPr>
                <w:rFonts w:ascii="Times New Roman" w:eastAsia="Calibri"/>
                <w:sz w:val="16"/>
                <w:szCs w:val="16"/>
                <w:lang w:eastAsia="en-US"/>
              </w:rPr>
              <w:t>6,7</w:t>
            </w:r>
          </w:p>
          <w:p w14:paraId="049037C5"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3(14,3%)</w:t>
            </w:r>
          </w:p>
        </w:tc>
        <w:tc>
          <w:tcPr>
            <w:tcW w:w="492" w:type="pct"/>
            <w:tcBorders>
              <w:top w:val="single" w:sz="4" w:space="0" w:color="auto"/>
              <w:left w:val="single" w:sz="4" w:space="0" w:color="auto"/>
              <w:bottom w:val="single" w:sz="4" w:space="0" w:color="auto"/>
              <w:right w:val="single" w:sz="4" w:space="0" w:color="auto"/>
            </w:tcBorders>
            <w:vAlign w:val="center"/>
            <w:hideMark/>
          </w:tcPr>
          <w:p w14:paraId="2BB836AB"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11,5</w:t>
            </w:r>
            <w:r>
              <w:rPr>
                <w:rFonts w:ascii="Times New Roman" w:eastAsia="Calibri"/>
                <w:sz w:val="16"/>
                <w:szCs w:val="16"/>
                <w:lang w:eastAsia="en-US"/>
              </w:rPr>
              <w:t>±</w:t>
            </w:r>
            <w:r>
              <w:rPr>
                <w:rFonts w:ascii="Times New Roman" w:eastAsia="Calibri"/>
                <w:sz w:val="16"/>
                <w:szCs w:val="16"/>
                <w:lang w:eastAsia="en-US"/>
              </w:rPr>
              <w:t>1,3</w:t>
            </w:r>
          </w:p>
          <w:p w14:paraId="5515F724"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3(14,3%)</w:t>
            </w:r>
          </w:p>
        </w:tc>
        <w:tc>
          <w:tcPr>
            <w:tcW w:w="337" w:type="pct"/>
            <w:tcBorders>
              <w:top w:val="single" w:sz="4" w:space="0" w:color="auto"/>
              <w:left w:val="single" w:sz="4" w:space="0" w:color="auto"/>
              <w:bottom w:val="single" w:sz="4" w:space="0" w:color="auto"/>
              <w:right w:val="single" w:sz="4" w:space="0" w:color="auto"/>
            </w:tcBorders>
            <w:vAlign w:val="center"/>
            <w:hideMark/>
          </w:tcPr>
          <w:p w14:paraId="46B702AF"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0.690</w:t>
            </w:r>
          </w:p>
        </w:tc>
      </w:tr>
      <w:tr w:rsidR="00961BE6" w14:paraId="56D70388" w14:textId="77777777" w:rsidTr="00961BE6">
        <w:trPr>
          <w:trHeight w:val="315"/>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6584AA97"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proofErr w:type="gramStart"/>
            <w:r>
              <w:rPr>
                <w:rFonts w:ascii="Times New Roman" w:eastAsia="Calibri"/>
                <w:sz w:val="16"/>
                <w:szCs w:val="16"/>
                <w:lang w:eastAsia="en-US"/>
              </w:rPr>
              <w:t>CVO,n</w:t>
            </w:r>
            <w:proofErr w:type="gramEnd"/>
            <w:r>
              <w:rPr>
                <w:rFonts w:ascii="Times New Roman" w:eastAsia="Calibri"/>
                <w:sz w:val="16"/>
                <w:szCs w:val="16"/>
                <w:lang w:eastAsia="en-US"/>
              </w:rPr>
              <w:t xml:space="preserve"> (%)</w:t>
            </w:r>
          </w:p>
        </w:tc>
        <w:tc>
          <w:tcPr>
            <w:tcW w:w="492" w:type="pct"/>
            <w:tcBorders>
              <w:top w:val="single" w:sz="4" w:space="0" w:color="auto"/>
              <w:left w:val="single" w:sz="4" w:space="0" w:color="auto"/>
              <w:bottom w:val="single" w:sz="4" w:space="0" w:color="auto"/>
              <w:right w:val="single" w:sz="4" w:space="0" w:color="auto"/>
            </w:tcBorders>
            <w:vAlign w:val="center"/>
            <w:hideMark/>
          </w:tcPr>
          <w:p w14:paraId="2D915CEA"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95,8</w:t>
            </w:r>
            <w:r>
              <w:rPr>
                <w:rFonts w:ascii="Times New Roman" w:eastAsia="Calibri"/>
                <w:sz w:val="16"/>
                <w:szCs w:val="16"/>
                <w:lang w:eastAsia="en-US"/>
              </w:rPr>
              <w:t>±</w:t>
            </w:r>
            <w:r>
              <w:rPr>
                <w:rFonts w:ascii="Times New Roman" w:eastAsia="Calibri"/>
                <w:sz w:val="16"/>
                <w:szCs w:val="16"/>
                <w:lang w:eastAsia="en-US"/>
              </w:rPr>
              <w:t>6,4</w:t>
            </w:r>
          </w:p>
          <w:p w14:paraId="3CA652BA"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2(20%)</w:t>
            </w:r>
          </w:p>
        </w:tc>
        <w:tc>
          <w:tcPr>
            <w:tcW w:w="655" w:type="pct"/>
            <w:tcBorders>
              <w:top w:val="single" w:sz="4" w:space="0" w:color="auto"/>
              <w:left w:val="single" w:sz="4" w:space="0" w:color="auto"/>
              <w:bottom w:val="single" w:sz="4" w:space="0" w:color="auto"/>
              <w:right w:val="single" w:sz="4" w:space="0" w:color="auto"/>
            </w:tcBorders>
            <w:vAlign w:val="center"/>
            <w:hideMark/>
          </w:tcPr>
          <w:p w14:paraId="53C07B9E"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69,6</w:t>
            </w:r>
          </w:p>
          <w:p w14:paraId="1A533245" w14:textId="77777777" w:rsidR="00961BE6" w:rsidRDefault="00961BE6">
            <w:pPr>
              <w:adjustRightInd w:val="0"/>
              <w:ind w:left="60" w:right="60"/>
              <w:jc w:val="center"/>
              <w:rPr>
                <w:rFonts w:ascii="Times New Roman" w:eastAsia="Calibri"/>
                <w:sz w:val="16"/>
                <w:szCs w:val="16"/>
                <w:lang w:eastAsia="en-US"/>
              </w:rPr>
            </w:pPr>
            <w:r>
              <w:rPr>
                <w:rFonts w:ascii="Times New Roman" w:eastAsia="Calibri"/>
                <w:sz w:val="16"/>
                <w:szCs w:val="16"/>
                <w:lang w:eastAsia="en-US"/>
              </w:rPr>
              <w:t>1</w:t>
            </w:r>
          </w:p>
          <w:p w14:paraId="04BC3AB1"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(10%)</w:t>
            </w:r>
          </w:p>
        </w:tc>
        <w:tc>
          <w:tcPr>
            <w:tcW w:w="671" w:type="pct"/>
            <w:tcBorders>
              <w:top w:val="single" w:sz="4" w:space="0" w:color="auto"/>
              <w:left w:val="single" w:sz="4" w:space="0" w:color="auto"/>
              <w:bottom w:val="single" w:sz="4" w:space="0" w:color="auto"/>
              <w:right w:val="single" w:sz="4" w:space="0" w:color="auto"/>
            </w:tcBorders>
            <w:vAlign w:val="center"/>
            <w:hideMark/>
          </w:tcPr>
          <w:p w14:paraId="44243F90"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w:t>
            </w:r>
          </w:p>
        </w:tc>
        <w:tc>
          <w:tcPr>
            <w:tcW w:w="492" w:type="pct"/>
            <w:tcBorders>
              <w:top w:val="single" w:sz="4" w:space="0" w:color="auto"/>
              <w:left w:val="single" w:sz="4" w:space="0" w:color="auto"/>
              <w:bottom w:val="single" w:sz="4" w:space="0" w:color="auto"/>
              <w:right w:val="single" w:sz="4" w:space="0" w:color="auto"/>
            </w:tcBorders>
            <w:vAlign w:val="center"/>
            <w:hideMark/>
          </w:tcPr>
          <w:p w14:paraId="3DA7580C"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36,6</w:t>
            </w:r>
            <w:r>
              <w:rPr>
                <w:rFonts w:ascii="Times New Roman" w:eastAsia="Calibri"/>
                <w:sz w:val="16"/>
                <w:szCs w:val="16"/>
                <w:lang w:eastAsia="en-US"/>
              </w:rPr>
              <w:t>±</w:t>
            </w:r>
            <w:r>
              <w:rPr>
                <w:rFonts w:ascii="Times New Roman" w:eastAsia="Calibri"/>
                <w:sz w:val="16"/>
                <w:szCs w:val="16"/>
                <w:lang w:eastAsia="en-US"/>
              </w:rPr>
              <w:t>8,9</w:t>
            </w:r>
          </w:p>
          <w:p w14:paraId="57E98AF1"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2(20%)</w:t>
            </w:r>
          </w:p>
        </w:tc>
        <w:tc>
          <w:tcPr>
            <w:tcW w:w="632" w:type="pct"/>
            <w:tcBorders>
              <w:top w:val="single" w:sz="4" w:space="0" w:color="auto"/>
              <w:left w:val="single" w:sz="4" w:space="0" w:color="auto"/>
              <w:bottom w:val="single" w:sz="4" w:space="0" w:color="auto"/>
              <w:right w:val="single" w:sz="4" w:space="0" w:color="auto"/>
            </w:tcBorders>
            <w:vAlign w:val="center"/>
            <w:hideMark/>
          </w:tcPr>
          <w:p w14:paraId="35841D70"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16,9</w:t>
            </w:r>
          </w:p>
          <w:p w14:paraId="286A1C05"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1(10%)</w:t>
            </w:r>
          </w:p>
        </w:tc>
        <w:tc>
          <w:tcPr>
            <w:tcW w:w="492" w:type="pct"/>
            <w:tcBorders>
              <w:top w:val="single" w:sz="4" w:space="0" w:color="auto"/>
              <w:left w:val="single" w:sz="4" w:space="0" w:color="auto"/>
              <w:bottom w:val="single" w:sz="4" w:space="0" w:color="auto"/>
              <w:right w:val="single" w:sz="4" w:space="0" w:color="auto"/>
            </w:tcBorders>
            <w:vAlign w:val="center"/>
            <w:hideMark/>
          </w:tcPr>
          <w:p w14:paraId="09C1A67D"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12</w:t>
            </w:r>
            <w:r>
              <w:rPr>
                <w:rFonts w:ascii="Times New Roman" w:eastAsia="Calibri"/>
                <w:sz w:val="16"/>
                <w:szCs w:val="16"/>
                <w:lang w:eastAsia="en-US"/>
              </w:rPr>
              <w:t>±</w:t>
            </w:r>
            <w:r>
              <w:rPr>
                <w:rFonts w:ascii="Times New Roman" w:eastAsia="Calibri"/>
                <w:sz w:val="16"/>
                <w:szCs w:val="16"/>
                <w:lang w:eastAsia="en-US"/>
              </w:rPr>
              <w:t>2,8</w:t>
            </w:r>
          </w:p>
          <w:p w14:paraId="651CC580"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4(40%)</w:t>
            </w:r>
          </w:p>
        </w:tc>
        <w:tc>
          <w:tcPr>
            <w:tcW w:w="337" w:type="pct"/>
            <w:tcBorders>
              <w:top w:val="single" w:sz="4" w:space="0" w:color="auto"/>
              <w:left w:val="single" w:sz="4" w:space="0" w:color="auto"/>
              <w:bottom w:val="single" w:sz="4" w:space="0" w:color="auto"/>
              <w:right w:val="single" w:sz="4" w:space="0" w:color="auto"/>
            </w:tcBorders>
            <w:vAlign w:val="center"/>
            <w:hideMark/>
          </w:tcPr>
          <w:p w14:paraId="1BD1B344"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0.046</w:t>
            </w:r>
          </w:p>
        </w:tc>
      </w:tr>
      <w:tr w:rsidR="00961BE6" w14:paraId="5D8BDAC5" w14:textId="77777777" w:rsidTr="00961BE6">
        <w:trPr>
          <w:trHeight w:val="315"/>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11AF4B5B"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 xml:space="preserve">Arterial </w:t>
            </w:r>
            <w:proofErr w:type="gramStart"/>
            <w:r>
              <w:rPr>
                <w:rFonts w:ascii="Times New Roman" w:eastAsia="Calibri"/>
                <w:sz w:val="16"/>
                <w:szCs w:val="16"/>
                <w:lang w:eastAsia="en-US"/>
              </w:rPr>
              <w:t>Hypertension,n</w:t>
            </w:r>
            <w:proofErr w:type="gramEnd"/>
            <w:r>
              <w:rPr>
                <w:rFonts w:ascii="Times New Roman" w:eastAsia="Calibri"/>
                <w:sz w:val="16"/>
                <w:szCs w:val="16"/>
                <w:lang w:eastAsia="en-US"/>
              </w:rPr>
              <w:t xml:space="preserve"> (%)</w:t>
            </w:r>
          </w:p>
        </w:tc>
        <w:tc>
          <w:tcPr>
            <w:tcW w:w="492" w:type="pct"/>
            <w:tcBorders>
              <w:top w:val="single" w:sz="4" w:space="0" w:color="auto"/>
              <w:left w:val="single" w:sz="4" w:space="0" w:color="auto"/>
              <w:bottom w:val="single" w:sz="4" w:space="0" w:color="auto"/>
              <w:right w:val="single" w:sz="4" w:space="0" w:color="auto"/>
            </w:tcBorders>
            <w:vAlign w:val="center"/>
            <w:hideMark/>
          </w:tcPr>
          <w:p w14:paraId="0CEA9876"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107</w:t>
            </w:r>
            <w:r>
              <w:rPr>
                <w:rFonts w:ascii="Times New Roman" w:eastAsia="Calibri"/>
                <w:sz w:val="16"/>
                <w:szCs w:val="16"/>
                <w:lang w:eastAsia="en-US"/>
              </w:rPr>
              <w:t>±</w:t>
            </w:r>
            <w:r>
              <w:rPr>
                <w:rFonts w:ascii="Times New Roman" w:eastAsia="Calibri"/>
                <w:sz w:val="16"/>
                <w:szCs w:val="16"/>
                <w:lang w:eastAsia="en-US"/>
              </w:rPr>
              <w:t>15</w:t>
            </w:r>
          </w:p>
          <w:p w14:paraId="1EE79566"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27(16%)</w:t>
            </w:r>
          </w:p>
        </w:tc>
        <w:tc>
          <w:tcPr>
            <w:tcW w:w="655" w:type="pct"/>
            <w:tcBorders>
              <w:top w:val="single" w:sz="4" w:space="0" w:color="auto"/>
              <w:left w:val="single" w:sz="4" w:space="0" w:color="auto"/>
              <w:bottom w:val="single" w:sz="4" w:space="0" w:color="auto"/>
              <w:right w:val="single" w:sz="4" w:space="0" w:color="auto"/>
            </w:tcBorders>
            <w:vAlign w:val="center"/>
            <w:hideMark/>
          </w:tcPr>
          <w:p w14:paraId="355B3C2D"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71</w:t>
            </w:r>
            <w:r>
              <w:rPr>
                <w:rFonts w:ascii="Times New Roman" w:eastAsia="Calibri"/>
                <w:sz w:val="16"/>
                <w:szCs w:val="16"/>
                <w:lang w:eastAsia="en-US"/>
              </w:rPr>
              <w:t>±</w:t>
            </w:r>
            <w:r>
              <w:rPr>
                <w:rFonts w:ascii="Times New Roman" w:eastAsia="Calibri"/>
                <w:sz w:val="16"/>
                <w:szCs w:val="16"/>
                <w:lang w:eastAsia="en-US"/>
              </w:rPr>
              <w:t>7,4</w:t>
            </w:r>
          </w:p>
          <w:p w14:paraId="08206730"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57(33,9%)</w:t>
            </w:r>
          </w:p>
        </w:tc>
        <w:tc>
          <w:tcPr>
            <w:tcW w:w="671" w:type="pct"/>
            <w:tcBorders>
              <w:top w:val="single" w:sz="4" w:space="0" w:color="auto"/>
              <w:left w:val="single" w:sz="4" w:space="0" w:color="auto"/>
              <w:bottom w:val="single" w:sz="4" w:space="0" w:color="auto"/>
              <w:right w:val="single" w:sz="4" w:space="0" w:color="auto"/>
            </w:tcBorders>
            <w:vAlign w:val="center"/>
            <w:hideMark/>
          </w:tcPr>
          <w:p w14:paraId="5E2351EF"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52,6</w:t>
            </w:r>
            <w:r>
              <w:rPr>
                <w:rFonts w:ascii="Times New Roman" w:eastAsia="Calibri"/>
                <w:sz w:val="16"/>
                <w:szCs w:val="16"/>
                <w:lang w:eastAsia="en-US"/>
              </w:rPr>
              <w:t>±</w:t>
            </w:r>
            <w:r>
              <w:rPr>
                <w:rFonts w:ascii="Times New Roman" w:eastAsia="Calibri"/>
                <w:sz w:val="16"/>
                <w:szCs w:val="16"/>
                <w:lang w:eastAsia="en-US"/>
              </w:rPr>
              <w:t>4,5</w:t>
            </w:r>
          </w:p>
          <w:p w14:paraId="0C0B3231"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24(14,3%)</w:t>
            </w:r>
          </w:p>
        </w:tc>
        <w:tc>
          <w:tcPr>
            <w:tcW w:w="492" w:type="pct"/>
            <w:tcBorders>
              <w:top w:val="single" w:sz="4" w:space="0" w:color="auto"/>
              <w:left w:val="single" w:sz="4" w:space="0" w:color="auto"/>
              <w:bottom w:val="single" w:sz="4" w:space="0" w:color="auto"/>
              <w:right w:val="single" w:sz="4" w:space="0" w:color="auto"/>
            </w:tcBorders>
            <w:vAlign w:val="center"/>
            <w:hideMark/>
          </w:tcPr>
          <w:p w14:paraId="249138A6"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39,1</w:t>
            </w:r>
            <w:r>
              <w:rPr>
                <w:rFonts w:ascii="Times New Roman" w:eastAsia="Calibri"/>
                <w:sz w:val="16"/>
                <w:szCs w:val="16"/>
                <w:lang w:eastAsia="en-US"/>
              </w:rPr>
              <w:t>±</w:t>
            </w:r>
            <w:r>
              <w:rPr>
                <w:rFonts w:ascii="Times New Roman" w:eastAsia="Calibri"/>
                <w:sz w:val="16"/>
                <w:szCs w:val="16"/>
                <w:lang w:eastAsia="en-US"/>
              </w:rPr>
              <w:t>4,5</w:t>
            </w:r>
          </w:p>
          <w:p w14:paraId="723710A4"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24(14,3%)</w:t>
            </w:r>
          </w:p>
        </w:tc>
        <w:tc>
          <w:tcPr>
            <w:tcW w:w="632" w:type="pct"/>
            <w:tcBorders>
              <w:top w:val="single" w:sz="4" w:space="0" w:color="auto"/>
              <w:left w:val="single" w:sz="4" w:space="0" w:color="auto"/>
              <w:bottom w:val="single" w:sz="4" w:space="0" w:color="auto"/>
              <w:right w:val="single" w:sz="4" w:space="0" w:color="auto"/>
            </w:tcBorders>
            <w:vAlign w:val="center"/>
            <w:hideMark/>
          </w:tcPr>
          <w:p w14:paraId="458669B3"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22,2</w:t>
            </w:r>
            <w:r>
              <w:rPr>
                <w:rFonts w:ascii="Times New Roman" w:eastAsia="Calibri"/>
                <w:sz w:val="16"/>
                <w:szCs w:val="16"/>
                <w:lang w:eastAsia="en-US"/>
              </w:rPr>
              <w:t>±</w:t>
            </w:r>
            <w:r>
              <w:rPr>
                <w:rFonts w:ascii="Times New Roman" w:eastAsia="Calibri"/>
                <w:sz w:val="16"/>
                <w:szCs w:val="16"/>
                <w:lang w:eastAsia="en-US"/>
              </w:rPr>
              <w:t>4,5</w:t>
            </w:r>
          </w:p>
          <w:p w14:paraId="5091D71C"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19(11,3%)</w:t>
            </w:r>
          </w:p>
        </w:tc>
        <w:tc>
          <w:tcPr>
            <w:tcW w:w="492" w:type="pct"/>
            <w:tcBorders>
              <w:top w:val="single" w:sz="4" w:space="0" w:color="auto"/>
              <w:left w:val="single" w:sz="4" w:space="0" w:color="auto"/>
              <w:bottom w:val="single" w:sz="4" w:space="0" w:color="auto"/>
              <w:right w:val="single" w:sz="4" w:space="0" w:color="auto"/>
            </w:tcBorders>
            <w:vAlign w:val="center"/>
            <w:hideMark/>
          </w:tcPr>
          <w:p w14:paraId="05F63A45"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11,3</w:t>
            </w:r>
            <w:r>
              <w:rPr>
                <w:rFonts w:ascii="Times New Roman" w:eastAsia="Calibri"/>
                <w:sz w:val="16"/>
                <w:szCs w:val="16"/>
                <w:lang w:eastAsia="en-US"/>
              </w:rPr>
              <w:t>±</w:t>
            </w:r>
            <w:r>
              <w:rPr>
                <w:rFonts w:ascii="Times New Roman" w:eastAsia="Calibri"/>
                <w:sz w:val="16"/>
                <w:szCs w:val="16"/>
                <w:lang w:eastAsia="en-US"/>
              </w:rPr>
              <w:t>3,5</w:t>
            </w:r>
          </w:p>
          <w:p w14:paraId="52262E86"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17(10,1%)</w:t>
            </w:r>
          </w:p>
        </w:tc>
        <w:tc>
          <w:tcPr>
            <w:tcW w:w="337" w:type="pct"/>
            <w:tcBorders>
              <w:top w:val="single" w:sz="4" w:space="0" w:color="auto"/>
              <w:left w:val="single" w:sz="4" w:space="0" w:color="auto"/>
              <w:bottom w:val="single" w:sz="4" w:space="0" w:color="auto"/>
              <w:right w:val="single" w:sz="4" w:space="0" w:color="auto"/>
            </w:tcBorders>
            <w:vAlign w:val="center"/>
            <w:hideMark/>
          </w:tcPr>
          <w:p w14:paraId="1DD3B322"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0.341</w:t>
            </w:r>
          </w:p>
        </w:tc>
      </w:tr>
      <w:tr w:rsidR="00961BE6" w14:paraId="59F4A7F7" w14:textId="77777777" w:rsidTr="00961BE6">
        <w:trPr>
          <w:trHeight w:val="315"/>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595492FA"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proofErr w:type="gramStart"/>
            <w:r>
              <w:rPr>
                <w:rFonts w:ascii="Times New Roman" w:eastAsia="Calibri"/>
                <w:sz w:val="16"/>
                <w:szCs w:val="16"/>
                <w:lang w:eastAsia="en-US"/>
              </w:rPr>
              <w:t>COPD,n</w:t>
            </w:r>
            <w:proofErr w:type="gramEnd"/>
            <w:r>
              <w:rPr>
                <w:rFonts w:ascii="Times New Roman" w:eastAsia="Calibri"/>
                <w:sz w:val="16"/>
                <w:szCs w:val="16"/>
                <w:lang w:eastAsia="en-US"/>
              </w:rPr>
              <w:t xml:space="preserve"> (%)</w:t>
            </w:r>
          </w:p>
        </w:tc>
        <w:tc>
          <w:tcPr>
            <w:tcW w:w="492" w:type="pct"/>
            <w:tcBorders>
              <w:top w:val="single" w:sz="4" w:space="0" w:color="auto"/>
              <w:left w:val="single" w:sz="4" w:space="0" w:color="auto"/>
              <w:bottom w:val="single" w:sz="4" w:space="0" w:color="auto"/>
              <w:right w:val="single" w:sz="4" w:space="0" w:color="auto"/>
            </w:tcBorders>
            <w:vAlign w:val="center"/>
            <w:hideMark/>
          </w:tcPr>
          <w:p w14:paraId="1C9771BD"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111,6</w:t>
            </w:r>
          </w:p>
          <w:p w14:paraId="78F32F3B"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1(12,5%)</w:t>
            </w:r>
          </w:p>
        </w:tc>
        <w:tc>
          <w:tcPr>
            <w:tcW w:w="655" w:type="pct"/>
            <w:tcBorders>
              <w:top w:val="single" w:sz="4" w:space="0" w:color="auto"/>
              <w:left w:val="single" w:sz="4" w:space="0" w:color="auto"/>
              <w:bottom w:val="single" w:sz="4" w:space="0" w:color="auto"/>
              <w:right w:val="single" w:sz="4" w:space="0" w:color="auto"/>
            </w:tcBorders>
            <w:vAlign w:val="center"/>
            <w:hideMark/>
          </w:tcPr>
          <w:p w14:paraId="2467E6E4"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74,9</w:t>
            </w:r>
            <w:r>
              <w:rPr>
                <w:rFonts w:ascii="Times New Roman" w:eastAsia="Calibri"/>
                <w:sz w:val="16"/>
                <w:szCs w:val="16"/>
                <w:lang w:eastAsia="en-US"/>
              </w:rPr>
              <w:t>±</w:t>
            </w:r>
            <w:r>
              <w:rPr>
                <w:rFonts w:ascii="Times New Roman" w:eastAsia="Calibri"/>
                <w:sz w:val="16"/>
                <w:szCs w:val="16"/>
                <w:lang w:eastAsia="en-US"/>
              </w:rPr>
              <w:t>17</w:t>
            </w:r>
          </w:p>
          <w:p w14:paraId="4111876E"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2(25%)</w:t>
            </w:r>
          </w:p>
        </w:tc>
        <w:tc>
          <w:tcPr>
            <w:tcW w:w="671" w:type="pct"/>
            <w:tcBorders>
              <w:top w:val="single" w:sz="4" w:space="0" w:color="auto"/>
              <w:left w:val="single" w:sz="4" w:space="0" w:color="auto"/>
              <w:bottom w:val="single" w:sz="4" w:space="0" w:color="auto"/>
              <w:right w:val="single" w:sz="4" w:space="0" w:color="auto"/>
            </w:tcBorders>
            <w:vAlign w:val="center"/>
            <w:hideMark/>
          </w:tcPr>
          <w:p w14:paraId="58854F31"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54</w:t>
            </w:r>
            <w:r>
              <w:rPr>
                <w:rFonts w:ascii="Times New Roman" w:eastAsia="Calibri"/>
                <w:sz w:val="16"/>
                <w:szCs w:val="16"/>
                <w:lang w:eastAsia="en-US"/>
              </w:rPr>
              <w:t>±</w:t>
            </w:r>
            <w:r>
              <w:rPr>
                <w:rFonts w:ascii="Times New Roman" w:eastAsia="Calibri"/>
                <w:sz w:val="16"/>
                <w:szCs w:val="16"/>
                <w:lang w:eastAsia="en-US"/>
              </w:rPr>
              <w:t>2,43(37,5%)</w:t>
            </w:r>
          </w:p>
        </w:tc>
        <w:tc>
          <w:tcPr>
            <w:tcW w:w="492" w:type="pct"/>
            <w:tcBorders>
              <w:top w:val="single" w:sz="4" w:space="0" w:color="auto"/>
              <w:left w:val="single" w:sz="4" w:space="0" w:color="auto"/>
              <w:bottom w:val="single" w:sz="4" w:space="0" w:color="auto"/>
              <w:right w:val="single" w:sz="4" w:space="0" w:color="auto"/>
            </w:tcBorders>
            <w:vAlign w:val="center"/>
            <w:hideMark/>
          </w:tcPr>
          <w:p w14:paraId="0D3BE88A"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w:t>
            </w:r>
          </w:p>
        </w:tc>
        <w:tc>
          <w:tcPr>
            <w:tcW w:w="632" w:type="pct"/>
            <w:tcBorders>
              <w:top w:val="single" w:sz="4" w:space="0" w:color="auto"/>
              <w:left w:val="single" w:sz="4" w:space="0" w:color="auto"/>
              <w:bottom w:val="single" w:sz="4" w:space="0" w:color="auto"/>
              <w:right w:val="single" w:sz="4" w:space="0" w:color="auto"/>
            </w:tcBorders>
            <w:vAlign w:val="center"/>
            <w:hideMark/>
          </w:tcPr>
          <w:p w14:paraId="4E54B286"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21,9</w:t>
            </w:r>
            <w:r>
              <w:rPr>
                <w:rFonts w:ascii="Times New Roman" w:eastAsia="Calibri"/>
                <w:sz w:val="16"/>
                <w:szCs w:val="16"/>
                <w:lang w:eastAsia="en-US"/>
              </w:rPr>
              <w:t>±</w:t>
            </w:r>
            <w:r>
              <w:rPr>
                <w:rFonts w:ascii="Times New Roman" w:eastAsia="Calibri"/>
                <w:sz w:val="16"/>
                <w:szCs w:val="16"/>
                <w:lang w:eastAsia="en-US"/>
              </w:rPr>
              <w:t>5,2</w:t>
            </w:r>
          </w:p>
          <w:p w14:paraId="2251A7F5"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2(25%)</w:t>
            </w:r>
          </w:p>
        </w:tc>
        <w:tc>
          <w:tcPr>
            <w:tcW w:w="492" w:type="pct"/>
            <w:tcBorders>
              <w:top w:val="single" w:sz="4" w:space="0" w:color="auto"/>
              <w:left w:val="single" w:sz="4" w:space="0" w:color="auto"/>
              <w:bottom w:val="single" w:sz="4" w:space="0" w:color="auto"/>
              <w:right w:val="single" w:sz="4" w:space="0" w:color="auto"/>
            </w:tcBorders>
            <w:vAlign w:val="center"/>
            <w:hideMark/>
          </w:tcPr>
          <w:p w14:paraId="31A51D59"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w:t>
            </w:r>
          </w:p>
        </w:tc>
        <w:tc>
          <w:tcPr>
            <w:tcW w:w="337" w:type="pct"/>
            <w:tcBorders>
              <w:top w:val="single" w:sz="4" w:space="0" w:color="auto"/>
              <w:left w:val="single" w:sz="4" w:space="0" w:color="auto"/>
              <w:bottom w:val="single" w:sz="4" w:space="0" w:color="auto"/>
              <w:right w:val="single" w:sz="4" w:space="0" w:color="auto"/>
            </w:tcBorders>
            <w:vAlign w:val="center"/>
            <w:hideMark/>
          </w:tcPr>
          <w:p w14:paraId="2663B3C7"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0.279</w:t>
            </w:r>
          </w:p>
        </w:tc>
      </w:tr>
      <w:tr w:rsidR="00961BE6" w14:paraId="0DFDDAE1" w14:textId="77777777" w:rsidTr="00961BE6">
        <w:trPr>
          <w:trHeight w:val="587"/>
        </w:trPr>
        <w:tc>
          <w:tcPr>
            <w:tcW w:w="1228" w:type="pct"/>
            <w:gridSpan w:val="3"/>
            <w:tcBorders>
              <w:top w:val="single" w:sz="4" w:space="0" w:color="auto"/>
              <w:left w:val="single" w:sz="4" w:space="0" w:color="auto"/>
              <w:bottom w:val="single" w:sz="4" w:space="0" w:color="auto"/>
              <w:right w:val="single" w:sz="4" w:space="0" w:color="auto"/>
            </w:tcBorders>
            <w:vAlign w:val="center"/>
            <w:hideMark/>
          </w:tcPr>
          <w:p w14:paraId="19DCA44C"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proofErr w:type="gramStart"/>
            <w:r>
              <w:rPr>
                <w:rFonts w:ascii="Times New Roman" w:eastAsia="Calibri"/>
                <w:sz w:val="16"/>
                <w:szCs w:val="16"/>
                <w:lang w:eastAsia="en-US"/>
              </w:rPr>
              <w:t>Cancer,n</w:t>
            </w:r>
            <w:proofErr w:type="gramEnd"/>
            <w:r>
              <w:rPr>
                <w:rFonts w:ascii="Times New Roman" w:eastAsia="Calibri"/>
                <w:sz w:val="16"/>
                <w:szCs w:val="16"/>
                <w:lang w:eastAsia="en-US"/>
              </w:rPr>
              <w:t xml:space="preserve"> (%)</w:t>
            </w:r>
          </w:p>
        </w:tc>
        <w:tc>
          <w:tcPr>
            <w:tcW w:w="492" w:type="pct"/>
            <w:tcBorders>
              <w:top w:val="single" w:sz="4" w:space="0" w:color="auto"/>
              <w:left w:val="single" w:sz="4" w:space="0" w:color="auto"/>
              <w:bottom w:val="single" w:sz="4" w:space="0" w:color="auto"/>
              <w:right w:val="single" w:sz="4" w:space="0" w:color="auto"/>
            </w:tcBorders>
            <w:vAlign w:val="center"/>
            <w:hideMark/>
          </w:tcPr>
          <w:p w14:paraId="4097AADC"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w:t>
            </w:r>
          </w:p>
        </w:tc>
        <w:tc>
          <w:tcPr>
            <w:tcW w:w="655" w:type="pct"/>
            <w:tcBorders>
              <w:top w:val="single" w:sz="4" w:space="0" w:color="auto"/>
              <w:left w:val="single" w:sz="4" w:space="0" w:color="auto"/>
              <w:bottom w:val="single" w:sz="4" w:space="0" w:color="auto"/>
              <w:right w:val="single" w:sz="4" w:space="0" w:color="auto"/>
            </w:tcBorders>
            <w:vAlign w:val="center"/>
            <w:hideMark/>
          </w:tcPr>
          <w:p w14:paraId="15829D0E"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81,4</w:t>
            </w:r>
          </w:p>
          <w:p w14:paraId="4ECFE17A"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1(9,1%)</w:t>
            </w:r>
          </w:p>
        </w:tc>
        <w:tc>
          <w:tcPr>
            <w:tcW w:w="671" w:type="pct"/>
            <w:tcBorders>
              <w:top w:val="single" w:sz="4" w:space="0" w:color="auto"/>
              <w:left w:val="single" w:sz="4" w:space="0" w:color="auto"/>
              <w:bottom w:val="single" w:sz="4" w:space="0" w:color="auto"/>
              <w:right w:val="single" w:sz="4" w:space="0" w:color="auto"/>
            </w:tcBorders>
            <w:vAlign w:val="center"/>
            <w:hideMark/>
          </w:tcPr>
          <w:p w14:paraId="1809D26D"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56,9</w:t>
            </w:r>
            <w:r>
              <w:rPr>
                <w:rFonts w:ascii="Times New Roman" w:eastAsia="Calibri"/>
                <w:sz w:val="16"/>
                <w:szCs w:val="16"/>
                <w:lang w:eastAsia="en-US"/>
              </w:rPr>
              <w:t>±</w:t>
            </w:r>
            <w:r>
              <w:rPr>
                <w:rFonts w:ascii="Times New Roman" w:eastAsia="Calibri"/>
                <w:sz w:val="16"/>
                <w:szCs w:val="16"/>
                <w:lang w:eastAsia="en-US"/>
              </w:rPr>
              <w:t>2,1</w:t>
            </w:r>
          </w:p>
          <w:p w14:paraId="4BDA4F8D"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2(18,2%)</w:t>
            </w:r>
          </w:p>
        </w:tc>
        <w:tc>
          <w:tcPr>
            <w:tcW w:w="492" w:type="pct"/>
            <w:tcBorders>
              <w:top w:val="single" w:sz="4" w:space="0" w:color="auto"/>
              <w:left w:val="single" w:sz="4" w:space="0" w:color="auto"/>
              <w:bottom w:val="single" w:sz="4" w:space="0" w:color="auto"/>
              <w:right w:val="single" w:sz="4" w:space="0" w:color="auto"/>
            </w:tcBorders>
            <w:vAlign w:val="center"/>
            <w:hideMark/>
          </w:tcPr>
          <w:p w14:paraId="112AB7A8"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37,2</w:t>
            </w:r>
            <w:r>
              <w:rPr>
                <w:rFonts w:ascii="Times New Roman" w:eastAsia="Calibri"/>
                <w:sz w:val="16"/>
                <w:szCs w:val="16"/>
                <w:lang w:eastAsia="en-US"/>
              </w:rPr>
              <w:t>±</w:t>
            </w:r>
            <w:r>
              <w:rPr>
                <w:rFonts w:ascii="Times New Roman" w:eastAsia="Calibri"/>
                <w:sz w:val="16"/>
                <w:szCs w:val="16"/>
                <w:lang w:eastAsia="en-US"/>
              </w:rPr>
              <w:t>5,3</w:t>
            </w:r>
          </w:p>
          <w:p w14:paraId="2ED45CEF"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6(54,5%)</w:t>
            </w:r>
          </w:p>
        </w:tc>
        <w:tc>
          <w:tcPr>
            <w:tcW w:w="632" w:type="pct"/>
            <w:tcBorders>
              <w:top w:val="single" w:sz="4" w:space="0" w:color="auto"/>
              <w:left w:val="single" w:sz="4" w:space="0" w:color="auto"/>
              <w:bottom w:val="single" w:sz="4" w:space="0" w:color="auto"/>
              <w:right w:val="single" w:sz="4" w:space="0" w:color="auto"/>
            </w:tcBorders>
            <w:vAlign w:val="center"/>
            <w:hideMark/>
          </w:tcPr>
          <w:p w14:paraId="23FDF971"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28,5</w:t>
            </w:r>
          </w:p>
          <w:p w14:paraId="61573BDD"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1(9,1%)</w:t>
            </w:r>
          </w:p>
        </w:tc>
        <w:tc>
          <w:tcPr>
            <w:tcW w:w="492" w:type="pct"/>
            <w:tcBorders>
              <w:top w:val="single" w:sz="4" w:space="0" w:color="auto"/>
              <w:left w:val="single" w:sz="4" w:space="0" w:color="auto"/>
              <w:bottom w:val="single" w:sz="4" w:space="0" w:color="auto"/>
              <w:right w:val="single" w:sz="4" w:space="0" w:color="auto"/>
            </w:tcBorders>
            <w:vAlign w:val="center"/>
            <w:hideMark/>
          </w:tcPr>
          <w:p w14:paraId="6AA088FD" w14:textId="77777777" w:rsidR="00961BE6" w:rsidRDefault="00961BE6">
            <w:pPr>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10,2</w:t>
            </w:r>
          </w:p>
          <w:p w14:paraId="2BB44DD8"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1(9,1%)</w:t>
            </w:r>
          </w:p>
        </w:tc>
        <w:tc>
          <w:tcPr>
            <w:tcW w:w="337" w:type="pct"/>
            <w:tcBorders>
              <w:top w:val="single" w:sz="4" w:space="0" w:color="auto"/>
              <w:left w:val="single" w:sz="4" w:space="0" w:color="auto"/>
              <w:bottom w:val="single" w:sz="4" w:space="0" w:color="auto"/>
              <w:right w:val="single" w:sz="4" w:space="0" w:color="auto"/>
            </w:tcBorders>
            <w:vAlign w:val="center"/>
            <w:hideMark/>
          </w:tcPr>
          <w:p w14:paraId="3F1B1B94" w14:textId="77777777" w:rsidR="00961BE6" w:rsidRDefault="00961BE6">
            <w:pPr>
              <w:autoSpaceDE w:val="0"/>
              <w:autoSpaceDN w:val="0"/>
              <w:adjustRightInd w:val="0"/>
              <w:ind w:left="60" w:right="60"/>
              <w:jc w:val="center"/>
              <w:rPr>
                <w:rFonts w:ascii="Times New Roman" w:eastAsia="Calibri" w:hAnsi="Times New Roman"/>
                <w:sz w:val="16"/>
                <w:szCs w:val="16"/>
                <w:lang w:eastAsia="en-US"/>
              </w:rPr>
            </w:pPr>
            <w:r>
              <w:rPr>
                <w:rFonts w:ascii="Times New Roman" w:eastAsia="Calibri"/>
                <w:sz w:val="16"/>
                <w:szCs w:val="16"/>
                <w:lang w:eastAsia="en-US"/>
              </w:rPr>
              <w:t>0.034</w:t>
            </w:r>
          </w:p>
        </w:tc>
      </w:tr>
    </w:tbl>
    <w:p w14:paraId="4D8A602F" w14:textId="620FA197" w:rsidR="00961BE6" w:rsidRPr="00961BE6" w:rsidRDefault="00961BE6" w:rsidP="00961BE6">
      <w:pPr>
        <w:suppressAutoHyphens/>
        <w:spacing w:before="100" w:beforeAutospacing="1" w:after="100" w:afterAutospacing="1" w:line="480" w:lineRule="auto"/>
        <w:contextualSpacing/>
        <w:rPr>
          <w:rFonts w:ascii="Times New Roman" w:eastAsia="Calibri"/>
          <w:bCs/>
          <w:sz w:val="20"/>
          <w:szCs w:val="20"/>
          <w:lang w:eastAsia="en-US"/>
        </w:rPr>
      </w:pPr>
      <w:proofErr w:type="gramStart"/>
      <w:r>
        <w:rPr>
          <w:rFonts w:ascii="Times New Roman" w:eastAsia="Calibri"/>
          <w:bCs/>
          <w:szCs w:val="20"/>
          <w:lang w:eastAsia="en-US"/>
        </w:rPr>
        <w:t>MDS:Myelodysplastic</w:t>
      </w:r>
      <w:proofErr w:type="gramEnd"/>
      <w:r>
        <w:rPr>
          <w:rFonts w:ascii="Times New Roman" w:eastAsia="Calibri"/>
          <w:bCs/>
          <w:szCs w:val="20"/>
          <w:lang w:eastAsia="en-US"/>
        </w:rPr>
        <w:t xml:space="preserve"> syndrome, CAD: Coronary Artery Disease,CVO:Cerbrovasculer Disease, COPD: Chronic Obstr</w:t>
      </w:r>
      <w:r>
        <w:rPr>
          <w:rFonts w:ascii="Times New Roman" w:eastAsia="Calibri"/>
          <w:bCs/>
          <w:szCs w:val="20"/>
          <w:lang w:eastAsia="en-US"/>
        </w:rPr>
        <w:t>ü</w:t>
      </w:r>
      <w:r>
        <w:rPr>
          <w:rFonts w:ascii="Times New Roman" w:eastAsia="Calibri"/>
          <w:bCs/>
          <w:szCs w:val="20"/>
          <w:lang w:eastAsia="en-US"/>
        </w:rPr>
        <w:t>ctif Lung Diseas.</w:t>
      </w:r>
    </w:p>
    <w:p w14:paraId="5098D459" w14:textId="49D2AD9A" w:rsidR="00961BE6" w:rsidRDefault="00961BE6" w:rsidP="00961BE6">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100" w:beforeAutospacing="1" w:after="100" w:afterAutospacing="1" w:line="480" w:lineRule="auto"/>
        <w:contextualSpacing/>
        <w:rPr>
          <w:rFonts w:ascii="Times New Roman" w:eastAsia="Malgun Gothic"/>
          <w:color w:val="808080"/>
          <w:kern w:val="2"/>
          <w:szCs w:val="24"/>
          <w:lang w:val="en-US" w:eastAsia="ko-KR"/>
        </w:rPr>
      </w:pPr>
      <w:proofErr w:type="gramStart"/>
      <w:r>
        <w:rPr>
          <w:rFonts w:ascii="Times New Roman" w:eastAsia="Calibri"/>
          <w:b/>
          <w:bCs/>
          <w:szCs w:val="20"/>
          <w:lang w:val="en-GB" w:eastAsia="en-US"/>
        </w:rPr>
        <w:lastRenderedPageBreak/>
        <w:t>Table 2.</w:t>
      </w:r>
      <w:proofErr w:type="gramEnd"/>
      <w:r>
        <w:rPr>
          <w:rFonts w:ascii="Times New Roman" w:eastAsia="Calibri"/>
          <w:sz w:val="24"/>
          <w:lang w:eastAsia="en-US"/>
        </w:rPr>
        <w:t xml:space="preserve"> </w:t>
      </w:r>
      <w:r>
        <w:rPr>
          <w:rFonts w:ascii="Times New Roman" w:eastAsia="Calibri"/>
          <w:bCs/>
          <w:szCs w:val="20"/>
          <w:lang w:eastAsia="en-US"/>
        </w:rPr>
        <w:t>Causes of Hospitalization by GFR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69"/>
        <w:gridCol w:w="1074"/>
        <w:gridCol w:w="1074"/>
        <w:gridCol w:w="1074"/>
        <w:gridCol w:w="1074"/>
        <w:gridCol w:w="1074"/>
        <w:gridCol w:w="684"/>
      </w:tblGrid>
      <w:tr w:rsidR="00961BE6" w14:paraId="2EBBF05E" w14:textId="77777777" w:rsidTr="00961BE6">
        <w:trPr>
          <w:trHeight w:val="315"/>
        </w:trPr>
        <w:tc>
          <w:tcPr>
            <w:tcW w:w="858" w:type="pct"/>
            <w:vMerge w:val="restart"/>
            <w:tcBorders>
              <w:top w:val="single" w:sz="4" w:space="0" w:color="auto"/>
              <w:left w:val="single" w:sz="4" w:space="0" w:color="auto"/>
              <w:bottom w:val="single" w:sz="4" w:space="0" w:color="auto"/>
              <w:right w:val="single" w:sz="4" w:space="0" w:color="auto"/>
            </w:tcBorders>
            <w:vAlign w:val="center"/>
          </w:tcPr>
          <w:p w14:paraId="12173C0B" w14:textId="77777777" w:rsidR="00961BE6" w:rsidRDefault="00961BE6">
            <w:pPr>
              <w:spacing w:after="200"/>
              <w:rPr>
                <w:rFonts w:ascii="Times New Roman" w:eastAsia="Batang" w:hAnsi="Times New Roman"/>
                <w:kern w:val="2"/>
                <w:sz w:val="16"/>
                <w:szCs w:val="16"/>
                <w:lang w:val="en-US" w:eastAsia="ko-KR"/>
              </w:rPr>
            </w:pPr>
          </w:p>
          <w:p w14:paraId="20672014"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Reason For Hosp</w:t>
            </w:r>
            <w:r>
              <w:rPr>
                <w:rFonts w:ascii="Times New Roman"/>
                <w:sz w:val="16"/>
                <w:szCs w:val="16"/>
              </w:rPr>
              <w:t>ı</w:t>
            </w:r>
            <w:r>
              <w:rPr>
                <w:rFonts w:ascii="Times New Roman"/>
                <w:sz w:val="16"/>
                <w:szCs w:val="16"/>
              </w:rPr>
              <w:t>tal</w:t>
            </w:r>
            <w:r>
              <w:rPr>
                <w:rFonts w:ascii="Times New Roman"/>
                <w:sz w:val="16"/>
                <w:szCs w:val="16"/>
              </w:rPr>
              <w:t>ı</w:t>
            </w:r>
            <w:r>
              <w:rPr>
                <w:rFonts w:ascii="Times New Roman"/>
                <w:sz w:val="16"/>
                <w:szCs w:val="16"/>
              </w:rPr>
              <w:t>zat</w:t>
            </w:r>
            <w:r>
              <w:rPr>
                <w:rFonts w:ascii="Times New Roman"/>
                <w:sz w:val="16"/>
                <w:szCs w:val="16"/>
              </w:rPr>
              <w:t>ı</w:t>
            </w:r>
            <w:r>
              <w:rPr>
                <w:rFonts w:ascii="Times New Roman"/>
                <w:sz w:val="16"/>
                <w:szCs w:val="16"/>
              </w:rPr>
              <w:t>on</w:t>
            </w:r>
          </w:p>
        </w:tc>
        <w:tc>
          <w:tcPr>
            <w:tcW w:w="4142" w:type="pct"/>
            <w:gridSpan w:val="7"/>
            <w:tcBorders>
              <w:top w:val="single" w:sz="4" w:space="0" w:color="auto"/>
              <w:left w:val="single" w:sz="4" w:space="0" w:color="auto"/>
              <w:bottom w:val="single" w:sz="4" w:space="0" w:color="auto"/>
              <w:right w:val="single" w:sz="4" w:space="0" w:color="auto"/>
            </w:tcBorders>
            <w:vAlign w:val="center"/>
          </w:tcPr>
          <w:p w14:paraId="2F466DF1" w14:textId="77777777" w:rsidR="00961BE6" w:rsidRDefault="00961BE6">
            <w:pPr>
              <w:spacing w:after="200"/>
              <w:rPr>
                <w:rFonts w:ascii="Times New Roman" w:eastAsia="Batang" w:hAnsi="Times New Roman"/>
                <w:kern w:val="2"/>
                <w:sz w:val="16"/>
                <w:szCs w:val="16"/>
                <w:lang w:val="en-US" w:eastAsia="ko-KR"/>
              </w:rPr>
            </w:pPr>
          </w:p>
          <w:p w14:paraId="3BF485C0"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GFR/STAGE</w:t>
            </w:r>
          </w:p>
        </w:tc>
      </w:tr>
      <w:tr w:rsidR="00961BE6" w14:paraId="329C5779" w14:textId="77777777" w:rsidTr="00961BE6">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102E9" w14:textId="77777777" w:rsidR="00961BE6" w:rsidRDefault="00961BE6">
            <w:pPr>
              <w:rPr>
                <w:rFonts w:ascii="Times New Roman" w:eastAsia="Batang" w:hAnsi="Times New Roman"/>
                <w:kern w:val="2"/>
                <w:sz w:val="16"/>
                <w:szCs w:val="16"/>
                <w:lang w:val="en-US" w:eastAsia="ko-KR"/>
              </w:rPr>
            </w:pPr>
          </w:p>
        </w:tc>
        <w:tc>
          <w:tcPr>
            <w:tcW w:w="670" w:type="pct"/>
            <w:tcBorders>
              <w:top w:val="single" w:sz="4" w:space="0" w:color="auto"/>
              <w:left w:val="single" w:sz="4" w:space="0" w:color="auto"/>
              <w:bottom w:val="single" w:sz="4" w:space="0" w:color="auto"/>
              <w:right w:val="single" w:sz="4" w:space="0" w:color="auto"/>
            </w:tcBorders>
            <w:vAlign w:val="center"/>
            <w:hideMark/>
          </w:tcPr>
          <w:p w14:paraId="70D9B0C2"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G1</w:t>
            </w:r>
          </w:p>
          <w:p w14:paraId="6A5EF5F0" w14:textId="77777777" w:rsidR="00961BE6" w:rsidRDefault="00961BE6">
            <w:pPr>
              <w:spacing w:after="200"/>
              <w:rPr>
                <w:rFonts w:ascii="Times New Roman"/>
                <w:sz w:val="16"/>
                <w:szCs w:val="16"/>
              </w:rPr>
            </w:pPr>
            <w:r>
              <w:rPr>
                <w:rFonts w:ascii="Times New Roman"/>
                <w:sz w:val="16"/>
                <w:szCs w:val="16"/>
              </w:rPr>
              <w:t>Mean</w:t>
            </w:r>
            <w:r>
              <w:rPr>
                <w:rFonts w:ascii="Times New Roman"/>
                <w:sz w:val="16"/>
                <w:szCs w:val="16"/>
              </w:rPr>
              <w:t>±</w:t>
            </w:r>
            <w:r>
              <w:rPr>
                <w:rFonts w:ascii="Times New Roman"/>
                <w:sz w:val="16"/>
                <w:szCs w:val="16"/>
              </w:rPr>
              <w:t>SD</w:t>
            </w:r>
          </w:p>
          <w:p w14:paraId="580DF4F1"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w:t>
            </w:r>
          </w:p>
        </w:tc>
        <w:tc>
          <w:tcPr>
            <w:tcW w:w="616" w:type="pct"/>
            <w:tcBorders>
              <w:top w:val="single" w:sz="4" w:space="0" w:color="auto"/>
              <w:left w:val="single" w:sz="4" w:space="0" w:color="auto"/>
              <w:bottom w:val="single" w:sz="4" w:space="0" w:color="auto"/>
              <w:right w:val="single" w:sz="4" w:space="0" w:color="auto"/>
            </w:tcBorders>
            <w:vAlign w:val="center"/>
            <w:hideMark/>
          </w:tcPr>
          <w:p w14:paraId="2A7AABF3"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G2</w:t>
            </w:r>
          </w:p>
          <w:p w14:paraId="3F23606B" w14:textId="77777777" w:rsidR="00961BE6" w:rsidRDefault="00961BE6">
            <w:pPr>
              <w:spacing w:after="200"/>
              <w:rPr>
                <w:rFonts w:ascii="Times New Roman"/>
                <w:sz w:val="16"/>
                <w:szCs w:val="16"/>
              </w:rPr>
            </w:pPr>
            <w:r>
              <w:rPr>
                <w:rFonts w:ascii="Times New Roman"/>
                <w:sz w:val="16"/>
                <w:szCs w:val="16"/>
              </w:rPr>
              <w:t>Mean</w:t>
            </w:r>
            <w:r>
              <w:rPr>
                <w:rFonts w:ascii="Times New Roman"/>
                <w:sz w:val="16"/>
                <w:szCs w:val="16"/>
              </w:rPr>
              <w:t>±</w:t>
            </w:r>
            <w:r>
              <w:rPr>
                <w:rFonts w:ascii="Times New Roman"/>
                <w:sz w:val="16"/>
                <w:szCs w:val="16"/>
              </w:rPr>
              <w:t>SD</w:t>
            </w:r>
          </w:p>
          <w:p w14:paraId="4B36CC3A"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w:t>
            </w:r>
          </w:p>
        </w:tc>
        <w:tc>
          <w:tcPr>
            <w:tcW w:w="616" w:type="pct"/>
            <w:tcBorders>
              <w:top w:val="single" w:sz="4" w:space="0" w:color="auto"/>
              <w:left w:val="single" w:sz="4" w:space="0" w:color="auto"/>
              <w:bottom w:val="single" w:sz="4" w:space="0" w:color="auto"/>
              <w:right w:val="single" w:sz="4" w:space="0" w:color="auto"/>
            </w:tcBorders>
            <w:vAlign w:val="center"/>
            <w:hideMark/>
          </w:tcPr>
          <w:p w14:paraId="1045A15E"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G3a</w:t>
            </w:r>
          </w:p>
          <w:p w14:paraId="5A4C53E3" w14:textId="77777777" w:rsidR="00961BE6" w:rsidRDefault="00961BE6">
            <w:pPr>
              <w:spacing w:after="200"/>
              <w:rPr>
                <w:rFonts w:ascii="Times New Roman"/>
                <w:sz w:val="16"/>
                <w:szCs w:val="16"/>
              </w:rPr>
            </w:pPr>
            <w:r>
              <w:rPr>
                <w:rFonts w:ascii="Times New Roman"/>
                <w:sz w:val="16"/>
                <w:szCs w:val="16"/>
              </w:rPr>
              <w:t>Mean</w:t>
            </w:r>
            <w:r>
              <w:rPr>
                <w:rFonts w:ascii="Times New Roman"/>
                <w:sz w:val="16"/>
                <w:szCs w:val="16"/>
              </w:rPr>
              <w:t>±</w:t>
            </w:r>
            <w:r>
              <w:rPr>
                <w:rFonts w:ascii="Times New Roman"/>
                <w:sz w:val="16"/>
                <w:szCs w:val="16"/>
              </w:rPr>
              <w:t>SD</w:t>
            </w:r>
          </w:p>
          <w:p w14:paraId="3D3B02E8"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w:t>
            </w:r>
          </w:p>
        </w:tc>
        <w:tc>
          <w:tcPr>
            <w:tcW w:w="616" w:type="pct"/>
            <w:tcBorders>
              <w:top w:val="single" w:sz="4" w:space="0" w:color="auto"/>
              <w:left w:val="single" w:sz="4" w:space="0" w:color="auto"/>
              <w:bottom w:val="single" w:sz="4" w:space="0" w:color="auto"/>
              <w:right w:val="single" w:sz="4" w:space="0" w:color="auto"/>
            </w:tcBorders>
            <w:vAlign w:val="center"/>
            <w:hideMark/>
          </w:tcPr>
          <w:p w14:paraId="1BEB5726"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G3b</w:t>
            </w:r>
          </w:p>
          <w:p w14:paraId="2E7B109E" w14:textId="77777777" w:rsidR="00961BE6" w:rsidRDefault="00961BE6">
            <w:pPr>
              <w:spacing w:after="200"/>
              <w:rPr>
                <w:rFonts w:ascii="Times New Roman"/>
                <w:sz w:val="16"/>
                <w:szCs w:val="16"/>
              </w:rPr>
            </w:pPr>
            <w:r>
              <w:rPr>
                <w:rFonts w:ascii="Times New Roman"/>
                <w:sz w:val="16"/>
                <w:szCs w:val="16"/>
              </w:rPr>
              <w:t>Mean</w:t>
            </w:r>
            <w:r>
              <w:rPr>
                <w:rFonts w:ascii="Times New Roman"/>
                <w:sz w:val="16"/>
                <w:szCs w:val="16"/>
              </w:rPr>
              <w:t>±</w:t>
            </w:r>
            <w:r>
              <w:rPr>
                <w:rFonts w:ascii="Times New Roman"/>
                <w:sz w:val="16"/>
                <w:szCs w:val="16"/>
              </w:rPr>
              <w:t>SD</w:t>
            </w:r>
          </w:p>
          <w:p w14:paraId="42393FA3"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w:t>
            </w:r>
          </w:p>
        </w:tc>
        <w:tc>
          <w:tcPr>
            <w:tcW w:w="616" w:type="pct"/>
            <w:tcBorders>
              <w:top w:val="single" w:sz="4" w:space="0" w:color="auto"/>
              <w:left w:val="single" w:sz="4" w:space="0" w:color="auto"/>
              <w:bottom w:val="single" w:sz="4" w:space="0" w:color="auto"/>
              <w:right w:val="single" w:sz="4" w:space="0" w:color="auto"/>
            </w:tcBorders>
            <w:vAlign w:val="center"/>
            <w:hideMark/>
          </w:tcPr>
          <w:p w14:paraId="294B1992"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G4</w:t>
            </w:r>
          </w:p>
          <w:p w14:paraId="4120C936" w14:textId="77777777" w:rsidR="00961BE6" w:rsidRDefault="00961BE6">
            <w:pPr>
              <w:spacing w:after="200"/>
              <w:rPr>
                <w:rFonts w:ascii="Times New Roman"/>
                <w:sz w:val="16"/>
                <w:szCs w:val="16"/>
              </w:rPr>
            </w:pPr>
            <w:r>
              <w:rPr>
                <w:rFonts w:ascii="Times New Roman"/>
                <w:sz w:val="16"/>
                <w:szCs w:val="16"/>
              </w:rPr>
              <w:t>Mean</w:t>
            </w:r>
            <w:r>
              <w:rPr>
                <w:rFonts w:ascii="Times New Roman"/>
                <w:sz w:val="16"/>
                <w:szCs w:val="16"/>
              </w:rPr>
              <w:t>±</w:t>
            </w:r>
            <w:r>
              <w:rPr>
                <w:rFonts w:ascii="Times New Roman"/>
                <w:sz w:val="16"/>
                <w:szCs w:val="16"/>
              </w:rPr>
              <w:t>SD</w:t>
            </w:r>
          </w:p>
          <w:p w14:paraId="21D3E7EC"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w:t>
            </w:r>
          </w:p>
        </w:tc>
        <w:tc>
          <w:tcPr>
            <w:tcW w:w="616" w:type="pct"/>
            <w:tcBorders>
              <w:top w:val="single" w:sz="4" w:space="0" w:color="auto"/>
              <w:left w:val="single" w:sz="4" w:space="0" w:color="auto"/>
              <w:bottom w:val="single" w:sz="4" w:space="0" w:color="auto"/>
              <w:right w:val="single" w:sz="4" w:space="0" w:color="auto"/>
            </w:tcBorders>
            <w:vAlign w:val="center"/>
            <w:hideMark/>
          </w:tcPr>
          <w:p w14:paraId="59751144"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G5</w:t>
            </w:r>
          </w:p>
          <w:p w14:paraId="7B2430F2" w14:textId="77777777" w:rsidR="00961BE6" w:rsidRDefault="00961BE6">
            <w:pPr>
              <w:spacing w:after="200"/>
              <w:rPr>
                <w:rFonts w:ascii="Times New Roman"/>
                <w:sz w:val="16"/>
                <w:szCs w:val="16"/>
              </w:rPr>
            </w:pPr>
            <w:r>
              <w:rPr>
                <w:rFonts w:ascii="Times New Roman"/>
                <w:sz w:val="16"/>
                <w:szCs w:val="16"/>
              </w:rPr>
              <w:t>Mean</w:t>
            </w:r>
            <w:r>
              <w:rPr>
                <w:rFonts w:ascii="Times New Roman"/>
                <w:sz w:val="16"/>
                <w:szCs w:val="16"/>
              </w:rPr>
              <w:t>±</w:t>
            </w:r>
            <w:r>
              <w:rPr>
                <w:rFonts w:ascii="Times New Roman"/>
                <w:sz w:val="16"/>
                <w:szCs w:val="16"/>
              </w:rPr>
              <w:t>SD</w:t>
            </w:r>
          </w:p>
          <w:p w14:paraId="3676AC8D"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01C661A3"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proofErr w:type="gramStart"/>
            <w:r>
              <w:rPr>
                <w:rFonts w:ascii="Times New Roman"/>
                <w:sz w:val="16"/>
                <w:szCs w:val="16"/>
              </w:rPr>
              <w:t>p</w:t>
            </w:r>
            <w:proofErr w:type="gramEnd"/>
            <w:r>
              <w:rPr>
                <w:rFonts w:ascii="Times New Roman"/>
                <w:sz w:val="16"/>
                <w:szCs w:val="16"/>
                <w:rtl/>
              </w:rPr>
              <w:t>٭</w:t>
            </w:r>
          </w:p>
        </w:tc>
      </w:tr>
      <w:tr w:rsidR="00961BE6" w14:paraId="05D8FEA5" w14:textId="77777777" w:rsidTr="00961BE6">
        <w:tc>
          <w:tcPr>
            <w:tcW w:w="858" w:type="pct"/>
            <w:tcBorders>
              <w:top w:val="single" w:sz="4" w:space="0" w:color="auto"/>
              <w:left w:val="single" w:sz="4" w:space="0" w:color="auto"/>
              <w:bottom w:val="single" w:sz="4" w:space="0" w:color="auto"/>
              <w:right w:val="single" w:sz="4" w:space="0" w:color="auto"/>
            </w:tcBorders>
            <w:vAlign w:val="center"/>
            <w:hideMark/>
          </w:tcPr>
          <w:p w14:paraId="32D48BB6"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Anemia</w:t>
            </w:r>
          </w:p>
        </w:tc>
        <w:tc>
          <w:tcPr>
            <w:tcW w:w="670" w:type="pct"/>
            <w:tcBorders>
              <w:top w:val="single" w:sz="4" w:space="0" w:color="auto"/>
              <w:left w:val="single" w:sz="4" w:space="0" w:color="auto"/>
              <w:bottom w:val="single" w:sz="4" w:space="0" w:color="auto"/>
              <w:right w:val="single" w:sz="4" w:space="0" w:color="auto"/>
            </w:tcBorders>
            <w:vAlign w:val="center"/>
            <w:hideMark/>
          </w:tcPr>
          <w:p w14:paraId="1F008BED"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110,9</w:t>
            </w:r>
            <w:r>
              <w:rPr>
                <w:rFonts w:ascii="Times New Roman"/>
                <w:sz w:val="16"/>
                <w:szCs w:val="16"/>
              </w:rPr>
              <w:t>±</w:t>
            </w:r>
            <w:r>
              <w:rPr>
                <w:rFonts w:ascii="Times New Roman"/>
                <w:sz w:val="16"/>
                <w:szCs w:val="16"/>
              </w:rPr>
              <w:t>18,6</w:t>
            </w:r>
          </w:p>
          <w:p w14:paraId="7304CF86"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35,9%</w:t>
            </w:r>
          </w:p>
        </w:tc>
        <w:tc>
          <w:tcPr>
            <w:tcW w:w="616" w:type="pct"/>
            <w:tcBorders>
              <w:top w:val="single" w:sz="4" w:space="0" w:color="auto"/>
              <w:left w:val="single" w:sz="4" w:space="0" w:color="auto"/>
              <w:bottom w:val="single" w:sz="4" w:space="0" w:color="auto"/>
              <w:right w:val="single" w:sz="4" w:space="0" w:color="auto"/>
            </w:tcBorders>
            <w:vAlign w:val="center"/>
            <w:hideMark/>
          </w:tcPr>
          <w:p w14:paraId="1A9A2C03"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71,4</w:t>
            </w:r>
            <w:r>
              <w:rPr>
                <w:rFonts w:ascii="Times New Roman"/>
                <w:sz w:val="16"/>
                <w:szCs w:val="16"/>
              </w:rPr>
              <w:t>±</w:t>
            </w:r>
            <w:r>
              <w:rPr>
                <w:rFonts w:ascii="Times New Roman"/>
                <w:sz w:val="16"/>
                <w:szCs w:val="16"/>
              </w:rPr>
              <w:t>7,9</w:t>
            </w:r>
          </w:p>
          <w:p w14:paraId="27972AF6"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33,0%</w:t>
            </w:r>
          </w:p>
        </w:tc>
        <w:tc>
          <w:tcPr>
            <w:tcW w:w="616" w:type="pct"/>
            <w:tcBorders>
              <w:top w:val="single" w:sz="4" w:space="0" w:color="auto"/>
              <w:left w:val="single" w:sz="4" w:space="0" w:color="auto"/>
              <w:bottom w:val="single" w:sz="4" w:space="0" w:color="auto"/>
              <w:right w:val="single" w:sz="4" w:space="0" w:color="auto"/>
            </w:tcBorders>
            <w:vAlign w:val="center"/>
            <w:hideMark/>
          </w:tcPr>
          <w:p w14:paraId="6D57D7DC"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51,5</w:t>
            </w:r>
            <w:r>
              <w:rPr>
                <w:rFonts w:ascii="Times New Roman"/>
                <w:sz w:val="16"/>
                <w:szCs w:val="16"/>
              </w:rPr>
              <w:t>±</w:t>
            </w:r>
            <w:r>
              <w:rPr>
                <w:rFonts w:ascii="Times New Roman"/>
                <w:sz w:val="16"/>
                <w:szCs w:val="16"/>
              </w:rPr>
              <w:t>4,2</w:t>
            </w:r>
          </w:p>
          <w:p w14:paraId="5E011179"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40,6%</w:t>
            </w:r>
          </w:p>
        </w:tc>
        <w:tc>
          <w:tcPr>
            <w:tcW w:w="616" w:type="pct"/>
            <w:tcBorders>
              <w:top w:val="single" w:sz="4" w:space="0" w:color="auto"/>
              <w:left w:val="single" w:sz="4" w:space="0" w:color="auto"/>
              <w:bottom w:val="single" w:sz="4" w:space="0" w:color="auto"/>
              <w:right w:val="single" w:sz="4" w:space="0" w:color="auto"/>
            </w:tcBorders>
            <w:vAlign w:val="center"/>
            <w:hideMark/>
          </w:tcPr>
          <w:p w14:paraId="6A084737"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37,6</w:t>
            </w:r>
            <w:r>
              <w:rPr>
                <w:rFonts w:ascii="Times New Roman"/>
                <w:sz w:val="16"/>
                <w:szCs w:val="16"/>
              </w:rPr>
              <w:t>±</w:t>
            </w:r>
            <w:r>
              <w:rPr>
                <w:rFonts w:ascii="Times New Roman"/>
                <w:sz w:val="16"/>
                <w:szCs w:val="16"/>
              </w:rPr>
              <w:t>4,5</w:t>
            </w:r>
          </w:p>
          <w:p w14:paraId="5AA0F746"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34,3%</w:t>
            </w:r>
          </w:p>
        </w:tc>
        <w:tc>
          <w:tcPr>
            <w:tcW w:w="616" w:type="pct"/>
            <w:tcBorders>
              <w:top w:val="single" w:sz="4" w:space="0" w:color="auto"/>
              <w:left w:val="single" w:sz="4" w:space="0" w:color="auto"/>
              <w:bottom w:val="single" w:sz="4" w:space="0" w:color="auto"/>
              <w:right w:val="single" w:sz="4" w:space="0" w:color="auto"/>
            </w:tcBorders>
            <w:vAlign w:val="center"/>
            <w:hideMark/>
          </w:tcPr>
          <w:p w14:paraId="6C3B20A7"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22,9</w:t>
            </w:r>
            <w:r>
              <w:rPr>
                <w:rFonts w:ascii="Times New Roman"/>
                <w:sz w:val="16"/>
                <w:szCs w:val="16"/>
              </w:rPr>
              <w:t>±</w:t>
            </w:r>
            <w:r>
              <w:rPr>
                <w:rFonts w:ascii="Times New Roman"/>
                <w:sz w:val="16"/>
                <w:szCs w:val="16"/>
              </w:rPr>
              <w:t>5,5</w:t>
            </w:r>
          </w:p>
          <w:p w14:paraId="336099E9"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21,0%</w:t>
            </w:r>
          </w:p>
        </w:tc>
        <w:tc>
          <w:tcPr>
            <w:tcW w:w="616" w:type="pct"/>
            <w:tcBorders>
              <w:top w:val="single" w:sz="4" w:space="0" w:color="auto"/>
              <w:left w:val="single" w:sz="4" w:space="0" w:color="auto"/>
              <w:bottom w:val="single" w:sz="4" w:space="0" w:color="auto"/>
              <w:right w:val="single" w:sz="4" w:space="0" w:color="auto"/>
            </w:tcBorders>
            <w:vAlign w:val="center"/>
            <w:hideMark/>
          </w:tcPr>
          <w:p w14:paraId="1BFD410F"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10,9</w:t>
            </w:r>
            <w:r>
              <w:rPr>
                <w:rFonts w:ascii="Times New Roman"/>
                <w:sz w:val="16"/>
                <w:szCs w:val="16"/>
              </w:rPr>
              <w:t>±</w:t>
            </w:r>
            <w:r>
              <w:rPr>
                <w:rFonts w:ascii="Times New Roman"/>
                <w:sz w:val="16"/>
                <w:szCs w:val="16"/>
              </w:rPr>
              <w:t>2,9</w:t>
            </w:r>
          </w:p>
          <w:p w14:paraId="5DB5A5E1"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11,1%</w:t>
            </w:r>
          </w:p>
        </w:tc>
        <w:tc>
          <w:tcPr>
            <w:tcW w:w="392" w:type="pct"/>
            <w:tcBorders>
              <w:top w:val="single" w:sz="4" w:space="0" w:color="auto"/>
              <w:left w:val="single" w:sz="4" w:space="0" w:color="auto"/>
              <w:bottom w:val="single" w:sz="4" w:space="0" w:color="auto"/>
              <w:right w:val="single" w:sz="4" w:space="0" w:color="auto"/>
            </w:tcBorders>
            <w:vAlign w:val="center"/>
          </w:tcPr>
          <w:p w14:paraId="1CA982E1"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0.030</w:t>
            </w:r>
          </w:p>
          <w:p w14:paraId="2E0EB8EC"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p>
        </w:tc>
      </w:tr>
      <w:tr w:rsidR="00961BE6" w14:paraId="50E262B3" w14:textId="77777777" w:rsidTr="00961BE6">
        <w:tc>
          <w:tcPr>
            <w:tcW w:w="858" w:type="pct"/>
            <w:tcBorders>
              <w:top w:val="single" w:sz="4" w:space="0" w:color="auto"/>
              <w:left w:val="single" w:sz="4" w:space="0" w:color="auto"/>
              <w:bottom w:val="single" w:sz="4" w:space="0" w:color="auto"/>
              <w:right w:val="single" w:sz="4" w:space="0" w:color="auto"/>
            </w:tcBorders>
            <w:vAlign w:val="center"/>
            <w:hideMark/>
          </w:tcPr>
          <w:p w14:paraId="70ADA94D"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Hyperglisemia</w:t>
            </w:r>
          </w:p>
        </w:tc>
        <w:tc>
          <w:tcPr>
            <w:tcW w:w="670" w:type="pct"/>
            <w:tcBorders>
              <w:top w:val="single" w:sz="4" w:space="0" w:color="auto"/>
              <w:left w:val="single" w:sz="4" w:space="0" w:color="auto"/>
              <w:bottom w:val="single" w:sz="4" w:space="0" w:color="auto"/>
              <w:right w:val="single" w:sz="4" w:space="0" w:color="auto"/>
            </w:tcBorders>
            <w:vAlign w:val="center"/>
            <w:hideMark/>
          </w:tcPr>
          <w:p w14:paraId="5144D300"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100,6</w:t>
            </w:r>
            <w:r>
              <w:rPr>
                <w:rFonts w:ascii="Times New Roman"/>
                <w:sz w:val="16"/>
                <w:szCs w:val="16"/>
              </w:rPr>
              <w:t>±</w:t>
            </w:r>
            <w:r>
              <w:rPr>
                <w:rFonts w:ascii="Times New Roman"/>
                <w:sz w:val="16"/>
                <w:szCs w:val="16"/>
              </w:rPr>
              <w:t>8,1</w:t>
            </w:r>
          </w:p>
          <w:p w14:paraId="585F93B8"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7,6%</w:t>
            </w:r>
          </w:p>
        </w:tc>
        <w:tc>
          <w:tcPr>
            <w:tcW w:w="616" w:type="pct"/>
            <w:tcBorders>
              <w:top w:val="single" w:sz="4" w:space="0" w:color="auto"/>
              <w:left w:val="single" w:sz="4" w:space="0" w:color="auto"/>
              <w:bottom w:val="single" w:sz="4" w:space="0" w:color="auto"/>
              <w:right w:val="single" w:sz="4" w:space="0" w:color="auto"/>
            </w:tcBorders>
            <w:vAlign w:val="center"/>
            <w:hideMark/>
          </w:tcPr>
          <w:p w14:paraId="65B2E92F"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73</w:t>
            </w:r>
            <w:r>
              <w:rPr>
                <w:rFonts w:ascii="Times New Roman"/>
                <w:sz w:val="16"/>
                <w:szCs w:val="16"/>
              </w:rPr>
              <w:t>±</w:t>
            </w:r>
            <w:r>
              <w:rPr>
                <w:rFonts w:ascii="Times New Roman"/>
                <w:sz w:val="16"/>
                <w:szCs w:val="16"/>
              </w:rPr>
              <w:t>6,8</w:t>
            </w:r>
          </w:p>
          <w:p w14:paraId="1BA8AD22"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13,7%</w:t>
            </w:r>
          </w:p>
        </w:tc>
        <w:tc>
          <w:tcPr>
            <w:tcW w:w="616" w:type="pct"/>
            <w:tcBorders>
              <w:top w:val="single" w:sz="4" w:space="0" w:color="auto"/>
              <w:left w:val="single" w:sz="4" w:space="0" w:color="auto"/>
              <w:bottom w:val="single" w:sz="4" w:space="0" w:color="auto"/>
              <w:right w:val="single" w:sz="4" w:space="0" w:color="auto"/>
            </w:tcBorders>
            <w:vAlign w:val="center"/>
            <w:hideMark/>
          </w:tcPr>
          <w:p w14:paraId="3106AAE6"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52,2</w:t>
            </w:r>
            <w:r>
              <w:rPr>
                <w:rFonts w:ascii="Times New Roman"/>
                <w:sz w:val="16"/>
                <w:szCs w:val="16"/>
              </w:rPr>
              <w:t>±</w:t>
            </w:r>
            <w:r>
              <w:rPr>
                <w:rFonts w:ascii="Times New Roman"/>
                <w:sz w:val="16"/>
                <w:szCs w:val="16"/>
              </w:rPr>
              <w:t>3,8</w:t>
            </w:r>
          </w:p>
          <w:p w14:paraId="67D70036"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21,9%</w:t>
            </w:r>
          </w:p>
        </w:tc>
        <w:tc>
          <w:tcPr>
            <w:tcW w:w="616" w:type="pct"/>
            <w:tcBorders>
              <w:top w:val="single" w:sz="4" w:space="0" w:color="auto"/>
              <w:left w:val="single" w:sz="4" w:space="0" w:color="auto"/>
              <w:bottom w:val="single" w:sz="4" w:space="0" w:color="auto"/>
              <w:right w:val="single" w:sz="4" w:space="0" w:color="auto"/>
            </w:tcBorders>
            <w:vAlign w:val="center"/>
            <w:hideMark/>
          </w:tcPr>
          <w:p w14:paraId="3E2FFC79"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38</w:t>
            </w:r>
            <w:r>
              <w:rPr>
                <w:rFonts w:ascii="Times New Roman"/>
                <w:sz w:val="16"/>
                <w:szCs w:val="16"/>
              </w:rPr>
              <w:t>±</w:t>
            </w:r>
            <w:r>
              <w:rPr>
                <w:rFonts w:ascii="Times New Roman"/>
                <w:sz w:val="16"/>
                <w:szCs w:val="16"/>
              </w:rPr>
              <w:t>5</w:t>
            </w:r>
          </w:p>
          <w:p w14:paraId="51F5742A"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18,5%</w:t>
            </w:r>
          </w:p>
        </w:tc>
        <w:tc>
          <w:tcPr>
            <w:tcW w:w="616" w:type="pct"/>
            <w:tcBorders>
              <w:top w:val="single" w:sz="4" w:space="0" w:color="auto"/>
              <w:left w:val="single" w:sz="4" w:space="0" w:color="auto"/>
              <w:bottom w:val="single" w:sz="4" w:space="0" w:color="auto"/>
              <w:right w:val="single" w:sz="4" w:space="0" w:color="auto"/>
            </w:tcBorders>
            <w:vAlign w:val="center"/>
            <w:hideMark/>
          </w:tcPr>
          <w:p w14:paraId="507650AA"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24,9</w:t>
            </w:r>
            <w:r>
              <w:rPr>
                <w:rFonts w:ascii="Times New Roman"/>
                <w:sz w:val="16"/>
                <w:szCs w:val="16"/>
              </w:rPr>
              <w:t>±</w:t>
            </w:r>
            <w:r>
              <w:rPr>
                <w:rFonts w:ascii="Times New Roman"/>
                <w:sz w:val="16"/>
                <w:szCs w:val="16"/>
              </w:rPr>
              <w:t>4,6</w:t>
            </w:r>
          </w:p>
          <w:p w14:paraId="660168B1"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14,5%</w:t>
            </w:r>
          </w:p>
        </w:tc>
        <w:tc>
          <w:tcPr>
            <w:tcW w:w="616" w:type="pct"/>
            <w:tcBorders>
              <w:top w:val="single" w:sz="4" w:space="0" w:color="auto"/>
              <w:left w:val="single" w:sz="4" w:space="0" w:color="auto"/>
              <w:bottom w:val="single" w:sz="4" w:space="0" w:color="auto"/>
              <w:right w:val="single" w:sz="4" w:space="0" w:color="auto"/>
            </w:tcBorders>
            <w:vAlign w:val="center"/>
            <w:hideMark/>
          </w:tcPr>
          <w:p w14:paraId="5F1A2D75"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w:t>
            </w:r>
          </w:p>
        </w:tc>
        <w:tc>
          <w:tcPr>
            <w:tcW w:w="392" w:type="pct"/>
            <w:tcBorders>
              <w:top w:val="single" w:sz="4" w:space="0" w:color="auto"/>
              <w:left w:val="single" w:sz="4" w:space="0" w:color="auto"/>
              <w:bottom w:val="single" w:sz="4" w:space="0" w:color="auto"/>
              <w:right w:val="single" w:sz="4" w:space="0" w:color="auto"/>
            </w:tcBorders>
            <w:vAlign w:val="center"/>
          </w:tcPr>
          <w:p w14:paraId="0A4ED592"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0.331</w:t>
            </w:r>
          </w:p>
          <w:p w14:paraId="0D640361"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p>
        </w:tc>
      </w:tr>
      <w:tr w:rsidR="00961BE6" w14:paraId="1CC1412B" w14:textId="77777777" w:rsidTr="00961BE6">
        <w:tc>
          <w:tcPr>
            <w:tcW w:w="858" w:type="pct"/>
            <w:tcBorders>
              <w:top w:val="single" w:sz="4" w:space="0" w:color="auto"/>
              <w:left w:val="single" w:sz="4" w:space="0" w:color="auto"/>
              <w:bottom w:val="single" w:sz="4" w:space="0" w:color="auto"/>
              <w:right w:val="single" w:sz="4" w:space="0" w:color="auto"/>
            </w:tcBorders>
            <w:vAlign w:val="center"/>
            <w:hideMark/>
          </w:tcPr>
          <w:p w14:paraId="17F14B4A"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Pn</w:t>
            </w:r>
            <w:r>
              <w:rPr>
                <w:rFonts w:ascii="Times New Roman"/>
                <w:sz w:val="16"/>
                <w:szCs w:val="16"/>
              </w:rPr>
              <w:t>ö</w:t>
            </w:r>
            <w:r>
              <w:rPr>
                <w:rFonts w:ascii="Times New Roman"/>
                <w:sz w:val="16"/>
                <w:szCs w:val="16"/>
              </w:rPr>
              <w:t>monia</w:t>
            </w:r>
          </w:p>
        </w:tc>
        <w:tc>
          <w:tcPr>
            <w:tcW w:w="670" w:type="pct"/>
            <w:tcBorders>
              <w:top w:val="single" w:sz="4" w:space="0" w:color="auto"/>
              <w:left w:val="single" w:sz="4" w:space="0" w:color="auto"/>
              <w:bottom w:val="single" w:sz="4" w:space="0" w:color="auto"/>
              <w:right w:val="single" w:sz="4" w:space="0" w:color="auto"/>
            </w:tcBorders>
            <w:vAlign w:val="center"/>
            <w:hideMark/>
          </w:tcPr>
          <w:p w14:paraId="1EE21CB1"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104,4</w:t>
            </w:r>
            <w:r>
              <w:rPr>
                <w:rFonts w:ascii="Times New Roman"/>
                <w:sz w:val="16"/>
                <w:szCs w:val="16"/>
              </w:rPr>
              <w:t>±</w:t>
            </w:r>
            <w:r>
              <w:rPr>
                <w:rFonts w:ascii="Times New Roman"/>
                <w:sz w:val="16"/>
                <w:szCs w:val="16"/>
              </w:rPr>
              <w:t>8,3</w:t>
            </w:r>
          </w:p>
          <w:p w14:paraId="63737EBA"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4,3%</w:t>
            </w:r>
          </w:p>
        </w:tc>
        <w:tc>
          <w:tcPr>
            <w:tcW w:w="616" w:type="pct"/>
            <w:tcBorders>
              <w:top w:val="single" w:sz="4" w:space="0" w:color="auto"/>
              <w:left w:val="single" w:sz="4" w:space="0" w:color="auto"/>
              <w:bottom w:val="single" w:sz="4" w:space="0" w:color="auto"/>
              <w:right w:val="single" w:sz="4" w:space="0" w:color="auto"/>
            </w:tcBorders>
            <w:vAlign w:val="center"/>
            <w:hideMark/>
          </w:tcPr>
          <w:p w14:paraId="60D189E6"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78,1</w:t>
            </w:r>
            <w:r>
              <w:rPr>
                <w:rFonts w:ascii="Times New Roman"/>
                <w:sz w:val="16"/>
                <w:szCs w:val="16"/>
              </w:rPr>
              <w:t>±</w:t>
            </w:r>
            <w:r>
              <w:rPr>
                <w:rFonts w:ascii="Times New Roman"/>
                <w:sz w:val="16"/>
                <w:szCs w:val="16"/>
              </w:rPr>
              <w:t>7,7</w:t>
            </w:r>
          </w:p>
          <w:p w14:paraId="61A41EB6"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4,6%</w:t>
            </w:r>
          </w:p>
        </w:tc>
        <w:tc>
          <w:tcPr>
            <w:tcW w:w="616" w:type="pct"/>
            <w:tcBorders>
              <w:top w:val="single" w:sz="4" w:space="0" w:color="auto"/>
              <w:left w:val="single" w:sz="4" w:space="0" w:color="auto"/>
              <w:bottom w:val="single" w:sz="4" w:space="0" w:color="auto"/>
              <w:right w:val="single" w:sz="4" w:space="0" w:color="auto"/>
            </w:tcBorders>
            <w:vAlign w:val="center"/>
            <w:hideMark/>
          </w:tcPr>
          <w:p w14:paraId="703B0401"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55,5</w:t>
            </w:r>
            <w:r>
              <w:rPr>
                <w:rFonts w:ascii="Times New Roman"/>
                <w:sz w:val="16"/>
                <w:szCs w:val="16"/>
              </w:rPr>
              <w:t>±</w:t>
            </w:r>
            <w:r>
              <w:rPr>
                <w:rFonts w:ascii="Times New Roman"/>
                <w:sz w:val="16"/>
                <w:szCs w:val="16"/>
              </w:rPr>
              <w:t>3,8</w:t>
            </w:r>
          </w:p>
          <w:p w14:paraId="23159D0A"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2,1%</w:t>
            </w:r>
          </w:p>
        </w:tc>
        <w:tc>
          <w:tcPr>
            <w:tcW w:w="616" w:type="pct"/>
            <w:tcBorders>
              <w:top w:val="single" w:sz="4" w:space="0" w:color="auto"/>
              <w:left w:val="single" w:sz="4" w:space="0" w:color="auto"/>
              <w:bottom w:val="single" w:sz="4" w:space="0" w:color="auto"/>
              <w:right w:val="single" w:sz="4" w:space="0" w:color="auto"/>
            </w:tcBorders>
            <w:vAlign w:val="center"/>
          </w:tcPr>
          <w:p w14:paraId="0F365A15"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40,2</w:t>
            </w:r>
            <w:r>
              <w:rPr>
                <w:rFonts w:ascii="Times New Roman"/>
                <w:sz w:val="16"/>
                <w:szCs w:val="16"/>
              </w:rPr>
              <w:t>±</w:t>
            </w:r>
            <w:r>
              <w:rPr>
                <w:rFonts w:ascii="Times New Roman"/>
                <w:sz w:val="16"/>
                <w:szCs w:val="16"/>
              </w:rPr>
              <w:t>1,5</w:t>
            </w:r>
          </w:p>
          <w:p w14:paraId="332A9C1D" w14:textId="77777777" w:rsidR="00961BE6" w:rsidRDefault="00961BE6">
            <w:pPr>
              <w:spacing w:after="200"/>
              <w:rPr>
                <w:rFonts w:ascii="Times New Roman"/>
                <w:sz w:val="16"/>
                <w:szCs w:val="16"/>
              </w:rPr>
            </w:pPr>
            <w:r>
              <w:rPr>
                <w:rFonts w:ascii="Times New Roman"/>
                <w:sz w:val="16"/>
                <w:szCs w:val="16"/>
              </w:rPr>
              <w:t>2,8%</w:t>
            </w:r>
          </w:p>
          <w:p w14:paraId="04B3DF21"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p>
        </w:tc>
        <w:tc>
          <w:tcPr>
            <w:tcW w:w="616" w:type="pct"/>
            <w:tcBorders>
              <w:top w:val="single" w:sz="4" w:space="0" w:color="auto"/>
              <w:left w:val="single" w:sz="4" w:space="0" w:color="auto"/>
              <w:bottom w:val="single" w:sz="4" w:space="0" w:color="auto"/>
              <w:right w:val="single" w:sz="4" w:space="0" w:color="auto"/>
            </w:tcBorders>
            <w:vAlign w:val="center"/>
            <w:hideMark/>
          </w:tcPr>
          <w:p w14:paraId="03839942"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27</w:t>
            </w:r>
          </w:p>
          <w:p w14:paraId="6A9B2927"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1,6%</w:t>
            </w:r>
          </w:p>
        </w:tc>
        <w:tc>
          <w:tcPr>
            <w:tcW w:w="616" w:type="pct"/>
            <w:tcBorders>
              <w:top w:val="single" w:sz="4" w:space="0" w:color="auto"/>
              <w:left w:val="single" w:sz="4" w:space="0" w:color="auto"/>
              <w:bottom w:val="single" w:sz="4" w:space="0" w:color="auto"/>
              <w:right w:val="single" w:sz="4" w:space="0" w:color="auto"/>
            </w:tcBorders>
            <w:vAlign w:val="center"/>
            <w:hideMark/>
          </w:tcPr>
          <w:p w14:paraId="5D86B580"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w:t>
            </w:r>
          </w:p>
        </w:tc>
        <w:tc>
          <w:tcPr>
            <w:tcW w:w="392" w:type="pct"/>
            <w:tcBorders>
              <w:top w:val="single" w:sz="4" w:space="0" w:color="auto"/>
              <w:left w:val="single" w:sz="4" w:space="0" w:color="auto"/>
              <w:bottom w:val="single" w:sz="4" w:space="0" w:color="auto"/>
              <w:right w:val="single" w:sz="4" w:space="0" w:color="auto"/>
            </w:tcBorders>
            <w:vAlign w:val="center"/>
          </w:tcPr>
          <w:p w14:paraId="13EDE4C4" w14:textId="77777777" w:rsidR="00961BE6" w:rsidRDefault="00961BE6">
            <w:pPr>
              <w:spacing w:after="200"/>
              <w:rPr>
                <w:rFonts w:ascii="Times New Roman" w:eastAsia="Batang" w:hAnsi="Times New Roman"/>
                <w:kern w:val="2"/>
                <w:sz w:val="16"/>
                <w:szCs w:val="16"/>
                <w:lang w:val="en-US" w:eastAsia="ko-KR"/>
              </w:rPr>
            </w:pPr>
          </w:p>
          <w:p w14:paraId="286DF0F2"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0.541</w:t>
            </w:r>
          </w:p>
        </w:tc>
      </w:tr>
      <w:tr w:rsidR="00961BE6" w14:paraId="59160793" w14:textId="77777777" w:rsidTr="00961BE6">
        <w:tc>
          <w:tcPr>
            <w:tcW w:w="858" w:type="pct"/>
            <w:tcBorders>
              <w:top w:val="single" w:sz="4" w:space="0" w:color="auto"/>
              <w:left w:val="single" w:sz="4" w:space="0" w:color="auto"/>
              <w:bottom w:val="single" w:sz="4" w:space="0" w:color="auto"/>
              <w:right w:val="single" w:sz="4" w:space="0" w:color="auto"/>
            </w:tcBorders>
            <w:vAlign w:val="center"/>
            <w:hideMark/>
          </w:tcPr>
          <w:p w14:paraId="3CEDCC83"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Ü</w:t>
            </w:r>
            <w:r>
              <w:rPr>
                <w:rFonts w:ascii="Times New Roman"/>
                <w:sz w:val="16"/>
                <w:szCs w:val="16"/>
              </w:rPr>
              <w:t>riner Enfection</w:t>
            </w:r>
          </w:p>
        </w:tc>
        <w:tc>
          <w:tcPr>
            <w:tcW w:w="670" w:type="pct"/>
            <w:tcBorders>
              <w:top w:val="single" w:sz="4" w:space="0" w:color="auto"/>
              <w:left w:val="single" w:sz="4" w:space="0" w:color="auto"/>
              <w:bottom w:val="single" w:sz="4" w:space="0" w:color="auto"/>
              <w:right w:val="single" w:sz="4" w:space="0" w:color="auto"/>
            </w:tcBorders>
            <w:vAlign w:val="center"/>
            <w:hideMark/>
          </w:tcPr>
          <w:p w14:paraId="09CB98C8"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108,1</w:t>
            </w:r>
            <w:r>
              <w:rPr>
                <w:rFonts w:ascii="Times New Roman"/>
                <w:sz w:val="16"/>
                <w:szCs w:val="16"/>
              </w:rPr>
              <w:t>±</w:t>
            </w:r>
            <w:r>
              <w:rPr>
                <w:rFonts w:ascii="Times New Roman"/>
                <w:sz w:val="16"/>
                <w:szCs w:val="16"/>
              </w:rPr>
              <w:t>29,4</w:t>
            </w:r>
          </w:p>
          <w:p w14:paraId="62B0E64E"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4,3%</w:t>
            </w:r>
          </w:p>
        </w:tc>
        <w:tc>
          <w:tcPr>
            <w:tcW w:w="616" w:type="pct"/>
            <w:tcBorders>
              <w:top w:val="single" w:sz="4" w:space="0" w:color="auto"/>
              <w:left w:val="single" w:sz="4" w:space="0" w:color="auto"/>
              <w:bottom w:val="single" w:sz="4" w:space="0" w:color="auto"/>
              <w:right w:val="single" w:sz="4" w:space="0" w:color="auto"/>
            </w:tcBorders>
            <w:vAlign w:val="center"/>
            <w:hideMark/>
          </w:tcPr>
          <w:p w14:paraId="37801A46"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73,5</w:t>
            </w:r>
            <w:r>
              <w:rPr>
                <w:rFonts w:ascii="Times New Roman"/>
                <w:sz w:val="16"/>
                <w:szCs w:val="16"/>
              </w:rPr>
              <w:t>±</w:t>
            </w:r>
            <w:r>
              <w:rPr>
                <w:rFonts w:ascii="Times New Roman"/>
                <w:sz w:val="16"/>
                <w:szCs w:val="16"/>
              </w:rPr>
              <w:t>8,5</w:t>
            </w:r>
          </w:p>
          <w:p w14:paraId="487CC466"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11,7%</w:t>
            </w:r>
          </w:p>
        </w:tc>
        <w:tc>
          <w:tcPr>
            <w:tcW w:w="616" w:type="pct"/>
            <w:tcBorders>
              <w:top w:val="single" w:sz="4" w:space="0" w:color="auto"/>
              <w:left w:val="single" w:sz="4" w:space="0" w:color="auto"/>
              <w:bottom w:val="single" w:sz="4" w:space="0" w:color="auto"/>
              <w:right w:val="single" w:sz="4" w:space="0" w:color="auto"/>
            </w:tcBorders>
            <w:vAlign w:val="center"/>
            <w:hideMark/>
          </w:tcPr>
          <w:p w14:paraId="75875624"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53,2</w:t>
            </w:r>
            <w:r>
              <w:rPr>
                <w:rFonts w:ascii="Times New Roman"/>
                <w:sz w:val="16"/>
                <w:szCs w:val="16"/>
              </w:rPr>
              <w:t>±</w:t>
            </w:r>
            <w:r>
              <w:rPr>
                <w:rFonts w:ascii="Times New Roman"/>
                <w:sz w:val="16"/>
                <w:szCs w:val="16"/>
              </w:rPr>
              <w:t>5,6</w:t>
            </w:r>
          </w:p>
          <w:p w14:paraId="6400A228"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7,3%</w:t>
            </w:r>
          </w:p>
        </w:tc>
        <w:tc>
          <w:tcPr>
            <w:tcW w:w="616" w:type="pct"/>
            <w:tcBorders>
              <w:top w:val="single" w:sz="4" w:space="0" w:color="auto"/>
              <w:left w:val="single" w:sz="4" w:space="0" w:color="auto"/>
              <w:bottom w:val="single" w:sz="4" w:space="0" w:color="auto"/>
              <w:right w:val="single" w:sz="4" w:space="0" w:color="auto"/>
            </w:tcBorders>
            <w:vAlign w:val="center"/>
            <w:hideMark/>
          </w:tcPr>
          <w:p w14:paraId="0759B4C6"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37,9</w:t>
            </w:r>
            <w:r>
              <w:rPr>
                <w:rFonts w:ascii="Times New Roman"/>
                <w:sz w:val="16"/>
                <w:szCs w:val="16"/>
              </w:rPr>
              <w:t>±</w:t>
            </w:r>
            <w:r>
              <w:rPr>
                <w:rFonts w:ascii="Times New Roman"/>
                <w:sz w:val="16"/>
                <w:szCs w:val="16"/>
              </w:rPr>
              <w:t>5,2</w:t>
            </w:r>
          </w:p>
          <w:p w14:paraId="1778B40C"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8,3%</w:t>
            </w:r>
          </w:p>
        </w:tc>
        <w:tc>
          <w:tcPr>
            <w:tcW w:w="616" w:type="pct"/>
            <w:tcBorders>
              <w:top w:val="single" w:sz="4" w:space="0" w:color="auto"/>
              <w:left w:val="single" w:sz="4" w:space="0" w:color="auto"/>
              <w:bottom w:val="single" w:sz="4" w:space="0" w:color="auto"/>
              <w:right w:val="single" w:sz="4" w:space="0" w:color="auto"/>
            </w:tcBorders>
            <w:vAlign w:val="center"/>
            <w:hideMark/>
          </w:tcPr>
          <w:p w14:paraId="0C9FF8F8"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24,6</w:t>
            </w:r>
            <w:r>
              <w:rPr>
                <w:rFonts w:ascii="Times New Roman"/>
                <w:sz w:val="16"/>
                <w:szCs w:val="16"/>
              </w:rPr>
              <w:t>±</w:t>
            </w:r>
            <w:r>
              <w:rPr>
                <w:rFonts w:ascii="Times New Roman"/>
                <w:sz w:val="16"/>
                <w:szCs w:val="16"/>
              </w:rPr>
              <w:t>3,7</w:t>
            </w:r>
          </w:p>
          <w:p w14:paraId="701EF5F1"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4,8%</w:t>
            </w:r>
          </w:p>
        </w:tc>
        <w:tc>
          <w:tcPr>
            <w:tcW w:w="616" w:type="pct"/>
            <w:tcBorders>
              <w:top w:val="single" w:sz="4" w:space="0" w:color="auto"/>
              <w:left w:val="single" w:sz="4" w:space="0" w:color="auto"/>
              <w:bottom w:val="single" w:sz="4" w:space="0" w:color="auto"/>
              <w:right w:val="single" w:sz="4" w:space="0" w:color="auto"/>
            </w:tcBorders>
            <w:vAlign w:val="center"/>
            <w:hideMark/>
          </w:tcPr>
          <w:p w14:paraId="6ECE1310"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12,5</w:t>
            </w:r>
          </w:p>
          <w:p w14:paraId="72BE3808"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2,2%</w:t>
            </w:r>
          </w:p>
        </w:tc>
        <w:tc>
          <w:tcPr>
            <w:tcW w:w="392" w:type="pct"/>
            <w:tcBorders>
              <w:top w:val="single" w:sz="4" w:space="0" w:color="auto"/>
              <w:left w:val="single" w:sz="4" w:space="0" w:color="auto"/>
              <w:bottom w:val="single" w:sz="4" w:space="0" w:color="auto"/>
              <w:right w:val="single" w:sz="4" w:space="0" w:color="auto"/>
            </w:tcBorders>
            <w:vAlign w:val="center"/>
            <w:hideMark/>
          </w:tcPr>
          <w:p w14:paraId="0678886A"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0.130</w:t>
            </w:r>
          </w:p>
        </w:tc>
      </w:tr>
      <w:tr w:rsidR="00961BE6" w14:paraId="39C47086" w14:textId="77777777" w:rsidTr="00961BE6">
        <w:tc>
          <w:tcPr>
            <w:tcW w:w="858" w:type="pct"/>
            <w:tcBorders>
              <w:top w:val="single" w:sz="4" w:space="0" w:color="auto"/>
              <w:left w:val="single" w:sz="4" w:space="0" w:color="auto"/>
              <w:bottom w:val="single" w:sz="4" w:space="0" w:color="auto"/>
              <w:right w:val="single" w:sz="4" w:space="0" w:color="auto"/>
            </w:tcBorders>
            <w:vAlign w:val="center"/>
            <w:hideMark/>
          </w:tcPr>
          <w:p w14:paraId="3D2D6DAA"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Hyponatremia</w:t>
            </w:r>
          </w:p>
        </w:tc>
        <w:tc>
          <w:tcPr>
            <w:tcW w:w="670" w:type="pct"/>
            <w:tcBorders>
              <w:top w:val="single" w:sz="4" w:space="0" w:color="auto"/>
              <w:left w:val="single" w:sz="4" w:space="0" w:color="auto"/>
              <w:bottom w:val="single" w:sz="4" w:space="0" w:color="auto"/>
              <w:right w:val="single" w:sz="4" w:space="0" w:color="auto"/>
            </w:tcBorders>
            <w:vAlign w:val="center"/>
            <w:hideMark/>
          </w:tcPr>
          <w:p w14:paraId="12D4F5BE"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104,4</w:t>
            </w:r>
            <w:r>
              <w:rPr>
                <w:rFonts w:ascii="Times New Roman"/>
                <w:sz w:val="16"/>
                <w:szCs w:val="16"/>
              </w:rPr>
              <w:t>±</w:t>
            </w:r>
            <w:r>
              <w:rPr>
                <w:rFonts w:ascii="Times New Roman"/>
                <w:sz w:val="16"/>
                <w:szCs w:val="16"/>
              </w:rPr>
              <w:t>10,7</w:t>
            </w:r>
          </w:p>
          <w:p w14:paraId="0EE42B7B"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9,8%</w:t>
            </w:r>
          </w:p>
        </w:tc>
        <w:tc>
          <w:tcPr>
            <w:tcW w:w="616" w:type="pct"/>
            <w:tcBorders>
              <w:top w:val="single" w:sz="4" w:space="0" w:color="auto"/>
              <w:left w:val="single" w:sz="4" w:space="0" w:color="auto"/>
              <w:bottom w:val="single" w:sz="4" w:space="0" w:color="auto"/>
              <w:right w:val="single" w:sz="4" w:space="0" w:color="auto"/>
            </w:tcBorders>
            <w:vAlign w:val="center"/>
            <w:hideMark/>
          </w:tcPr>
          <w:p w14:paraId="6264BCA9"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73,7</w:t>
            </w:r>
            <w:r>
              <w:rPr>
                <w:rFonts w:ascii="Times New Roman"/>
                <w:sz w:val="16"/>
                <w:szCs w:val="16"/>
              </w:rPr>
              <w:t>±</w:t>
            </w:r>
            <w:r>
              <w:rPr>
                <w:rFonts w:ascii="Times New Roman"/>
                <w:sz w:val="16"/>
                <w:szCs w:val="16"/>
              </w:rPr>
              <w:t>9,7</w:t>
            </w:r>
          </w:p>
          <w:p w14:paraId="4DA69B53"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3,0%</w:t>
            </w:r>
          </w:p>
        </w:tc>
        <w:tc>
          <w:tcPr>
            <w:tcW w:w="616" w:type="pct"/>
            <w:tcBorders>
              <w:top w:val="single" w:sz="4" w:space="0" w:color="auto"/>
              <w:left w:val="single" w:sz="4" w:space="0" w:color="auto"/>
              <w:bottom w:val="single" w:sz="4" w:space="0" w:color="auto"/>
              <w:right w:val="single" w:sz="4" w:space="0" w:color="auto"/>
            </w:tcBorders>
            <w:vAlign w:val="center"/>
            <w:hideMark/>
          </w:tcPr>
          <w:p w14:paraId="0BA1A9A1"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52,8</w:t>
            </w:r>
            <w:r>
              <w:rPr>
                <w:rFonts w:ascii="Times New Roman"/>
                <w:sz w:val="16"/>
                <w:szCs w:val="16"/>
              </w:rPr>
              <w:t>±</w:t>
            </w:r>
            <w:r>
              <w:rPr>
                <w:rFonts w:ascii="Times New Roman"/>
                <w:sz w:val="16"/>
                <w:szCs w:val="16"/>
              </w:rPr>
              <w:t>4,6</w:t>
            </w:r>
          </w:p>
          <w:p w14:paraId="53F53D3C"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6,3%</w:t>
            </w:r>
          </w:p>
        </w:tc>
        <w:tc>
          <w:tcPr>
            <w:tcW w:w="616" w:type="pct"/>
            <w:tcBorders>
              <w:top w:val="single" w:sz="4" w:space="0" w:color="auto"/>
              <w:left w:val="single" w:sz="4" w:space="0" w:color="auto"/>
              <w:bottom w:val="single" w:sz="4" w:space="0" w:color="auto"/>
              <w:right w:val="single" w:sz="4" w:space="0" w:color="auto"/>
            </w:tcBorders>
            <w:vAlign w:val="center"/>
            <w:hideMark/>
          </w:tcPr>
          <w:p w14:paraId="023B0609"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38,8</w:t>
            </w:r>
            <w:r>
              <w:rPr>
                <w:rFonts w:ascii="Times New Roman"/>
                <w:sz w:val="16"/>
                <w:szCs w:val="16"/>
              </w:rPr>
              <w:t>±</w:t>
            </w:r>
            <w:r>
              <w:rPr>
                <w:rFonts w:ascii="Times New Roman"/>
                <w:sz w:val="16"/>
                <w:szCs w:val="16"/>
              </w:rPr>
              <w:t>3,9</w:t>
            </w:r>
          </w:p>
          <w:p w14:paraId="2D633594"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5,6%</w:t>
            </w:r>
          </w:p>
        </w:tc>
        <w:tc>
          <w:tcPr>
            <w:tcW w:w="616" w:type="pct"/>
            <w:tcBorders>
              <w:top w:val="single" w:sz="4" w:space="0" w:color="auto"/>
              <w:left w:val="single" w:sz="4" w:space="0" w:color="auto"/>
              <w:bottom w:val="single" w:sz="4" w:space="0" w:color="auto"/>
              <w:right w:val="single" w:sz="4" w:space="0" w:color="auto"/>
            </w:tcBorders>
            <w:vAlign w:val="center"/>
            <w:hideMark/>
          </w:tcPr>
          <w:p w14:paraId="520B2BFC"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25,3</w:t>
            </w:r>
            <w:r>
              <w:rPr>
                <w:rFonts w:ascii="Times New Roman"/>
                <w:sz w:val="16"/>
                <w:szCs w:val="16"/>
              </w:rPr>
              <w:t>±</w:t>
            </w:r>
            <w:r>
              <w:rPr>
                <w:rFonts w:ascii="Times New Roman"/>
                <w:sz w:val="16"/>
                <w:szCs w:val="16"/>
              </w:rPr>
              <w:t>0,9</w:t>
            </w:r>
          </w:p>
          <w:p w14:paraId="11A33C64"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6,5%</w:t>
            </w:r>
          </w:p>
        </w:tc>
        <w:tc>
          <w:tcPr>
            <w:tcW w:w="616" w:type="pct"/>
            <w:tcBorders>
              <w:top w:val="single" w:sz="4" w:space="0" w:color="auto"/>
              <w:left w:val="single" w:sz="4" w:space="0" w:color="auto"/>
              <w:bottom w:val="single" w:sz="4" w:space="0" w:color="auto"/>
              <w:right w:val="single" w:sz="4" w:space="0" w:color="auto"/>
            </w:tcBorders>
            <w:vAlign w:val="center"/>
            <w:hideMark/>
          </w:tcPr>
          <w:p w14:paraId="3E5073A3"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13,6</w:t>
            </w:r>
          </w:p>
          <w:p w14:paraId="2F710D9B"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2,2%</w:t>
            </w:r>
          </w:p>
        </w:tc>
        <w:tc>
          <w:tcPr>
            <w:tcW w:w="392" w:type="pct"/>
            <w:tcBorders>
              <w:top w:val="single" w:sz="4" w:space="0" w:color="auto"/>
              <w:left w:val="single" w:sz="4" w:space="0" w:color="auto"/>
              <w:bottom w:val="single" w:sz="4" w:space="0" w:color="auto"/>
              <w:right w:val="single" w:sz="4" w:space="0" w:color="auto"/>
            </w:tcBorders>
            <w:vAlign w:val="center"/>
            <w:hideMark/>
          </w:tcPr>
          <w:p w14:paraId="1F23C189"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0.233</w:t>
            </w:r>
          </w:p>
        </w:tc>
      </w:tr>
      <w:tr w:rsidR="00961BE6" w14:paraId="4E2D0F30" w14:textId="77777777" w:rsidTr="00961BE6">
        <w:tc>
          <w:tcPr>
            <w:tcW w:w="858" w:type="pct"/>
            <w:tcBorders>
              <w:top w:val="single" w:sz="4" w:space="0" w:color="auto"/>
              <w:left w:val="single" w:sz="4" w:space="0" w:color="auto"/>
              <w:bottom w:val="single" w:sz="4" w:space="0" w:color="auto"/>
              <w:right w:val="single" w:sz="4" w:space="0" w:color="auto"/>
            </w:tcBorders>
            <w:vAlign w:val="center"/>
            <w:hideMark/>
          </w:tcPr>
          <w:p w14:paraId="401D90A8"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Malnutrition</w:t>
            </w:r>
          </w:p>
        </w:tc>
        <w:tc>
          <w:tcPr>
            <w:tcW w:w="670" w:type="pct"/>
            <w:tcBorders>
              <w:top w:val="single" w:sz="4" w:space="0" w:color="auto"/>
              <w:left w:val="single" w:sz="4" w:space="0" w:color="auto"/>
              <w:bottom w:val="single" w:sz="4" w:space="0" w:color="auto"/>
              <w:right w:val="single" w:sz="4" w:space="0" w:color="auto"/>
            </w:tcBorders>
            <w:vAlign w:val="center"/>
            <w:hideMark/>
          </w:tcPr>
          <w:p w14:paraId="49435DEA"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109,5</w:t>
            </w:r>
            <w:r>
              <w:rPr>
                <w:rFonts w:ascii="Times New Roman"/>
                <w:sz w:val="16"/>
                <w:szCs w:val="16"/>
              </w:rPr>
              <w:t>±</w:t>
            </w:r>
            <w:r>
              <w:rPr>
                <w:rFonts w:ascii="Times New Roman"/>
                <w:sz w:val="16"/>
                <w:szCs w:val="16"/>
              </w:rPr>
              <w:t>22,2</w:t>
            </w:r>
          </w:p>
          <w:p w14:paraId="3876AE87"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27,2%</w:t>
            </w:r>
          </w:p>
        </w:tc>
        <w:tc>
          <w:tcPr>
            <w:tcW w:w="616" w:type="pct"/>
            <w:tcBorders>
              <w:top w:val="single" w:sz="4" w:space="0" w:color="auto"/>
              <w:left w:val="single" w:sz="4" w:space="0" w:color="auto"/>
              <w:bottom w:val="single" w:sz="4" w:space="0" w:color="auto"/>
              <w:right w:val="single" w:sz="4" w:space="0" w:color="auto"/>
            </w:tcBorders>
            <w:vAlign w:val="center"/>
            <w:hideMark/>
          </w:tcPr>
          <w:p w14:paraId="3C1246B0"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72,3</w:t>
            </w:r>
            <w:r>
              <w:rPr>
                <w:rFonts w:ascii="Times New Roman"/>
                <w:sz w:val="16"/>
                <w:szCs w:val="16"/>
              </w:rPr>
              <w:t>±</w:t>
            </w:r>
            <w:r>
              <w:rPr>
                <w:rFonts w:ascii="Times New Roman"/>
                <w:sz w:val="16"/>
                <w:szCs w:val="16"/>
              </w:rPr>
              <w:t>8,6</w:t>
            </w:r>
          </w:p>
          <w:p w14:paraId="242E9905"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21,8%</w:t>
            </w:r>
          </w:p>
        </w:tc>
        <w:tc>
          <w:tcPr>
            <w:tcW w:w="616" w:type="pct"/>
            <w:tcBorders>
              <w:top w:val="single" w:sz="4" w:space="0" w:color="auto"/>
              <w:left w:val="single" w:sz="4" w:space="0" w:color="auto"/>
              <w:bottom w:val="single" w:sz="4" w:space="0" w:color="auto"/>
              <w:right w:val="single" w:sz="4" w:space="0" w:color="auto"/>
            </w:tcBorders>
            <w:vAlign w:val="center"/>
            <w:hideMark/>
          </w:tcPr>
          <w:p w14:paraId="2AB10872"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53,4</w:t>
            </w:r>
            <w:r>
              <w:rPr>
                <w:rFonts w:ascii="Times New Roman"/>
                <w:sz w:val="16"/>
                <w:szCs w:val="16"/>
              </w:rPr>
              <w:t>±</w:t>
            </w:r>
            <w:r>
              <w:rPr>
                <w:rFonts w:ascii="Times New Roman"/>
                <w:sz w:val="16"/>
                <w:szCs w:val="16"/>
              </w:rPr>
              <w:t>3</w:t>
            </w:r>
          </w:p>
          <w:p w14:paraId="649DB6A8"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11,3%</w:t>
            </w:r>
          </w:p>
        </w:tc>
        <w:tc>
          <w:tcPr>
            <w:tcW w:w="616" w:type="pct"/>
            <w:tcBorders>
              <w:top w:val="single" w:sz="4" w:space="0" w:color="auto"/>
              <w:left w:val="single" w:sz="4" w:space="0" w:color="auto"/>
              <w:bottom w:val="single" w:sz="4" w:space="0" w:color="auto"/>
              <w:right w:val="single" w:sz="4" w:space="0" w:color="auto"/>
            </w:tcBorders>
            <w:vAlign w:val="center"/>
            <w:hideMark/>
          </w:tcPr>
          <w:p w14:paraId="1175428C"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38,7</w:t>
            </w:r>
            <w:r>
              <w:rPr>
                <w:rFonts w:ascii="Times New Roman"/>
                <w:sz w:val="16"/>
                <w:szCs w:val="16"/>
              </w:rPr>
              <w:t>±</w:t>
            </w:r>
            <w:r>
              <w:rPr>
                <w:rFonts w:ascii="Times New Roman"/>
                <w:sz w:val="16"/>
                <w:szCs w:val="16"/>
              </w:rPr>
              <w:t>4,2</w:t>
            </w:r>
          </w:p>
          <w:p w14:paraId="5A869D78"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20,3%</w:t>
            </w:r>
          </w:p>
        </w:tc>
        <w:tc>
          <w:tcPr>
            <w:tcW w:w="616" w:type="pct"/>
            <w:tcBorders>
              <w:top w:val="single" w:sz="4" w:space="0" w:color="auto"/>
              <w:left w:val="single" w:sz="4" w:space="0" w:color="auto"/>
              <w:bottom w:val="single" w:sz="4" w:space="0" w:color="auto"/>
              <w:right w:val="single" w:sz="4" w:space="0" w:color="auto"/>
            </w:tcBorders>
            <w:vAlign w:val="center"/>
            <w:hideMark/>
          </w:tcPr>
          <w:p w14:paraId="7953EFAA"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25,7</w:t>
            </w:r>
            <w:r>
              <w:rPr>
                <w:rFonts w:ascii="Times New Roman"/>
                <w:sz w:val="16"/>
                <w:szCs w:val="16"/>
              </w:rPr>
              <w:t>±</w:t>
            </w:r>
            <w:r>
              <w:rPr>
                <w:rFonts w:ascii="Times New Roman"/>
                <w:sz w:val="16"/>
                <w:szCs w:val="16"/>
              </w:rPr>
              <w:t>2,4</w:t>
            </w:r>
          </w:p>
          <w:p w14:paraId="241E3C41"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13,5%</w:t>
            </w:r>
          </w:p>
        </w:tc>
        <w:tc>
          <w:tcPr>
            <w:tcW w:w="616" w:type="pct"/>
            <w:tcBorders>
              <w:top w:val="single" w:sz="4" w:space="0" w:color="auto"/>
              <w:left w:val="single" w:sz="4" w:space="0" w:color="auto"/>
              <w:bottom w:val="single" w:sz="4" w:space="0" w:color="auto"/>
              <w:right w:val="single" w:sz="4" w:space="0" w:color="auto"/>
            </w:tcBorders>
            <w:vAlign w:val="center"/>
            <w:hideMark/>
          </w:tcPr>
          <w:p w14:paraId="36FA47E1"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w:t>
            </w:r>
          </w:p>
        </w:tc>
        <w:tc>
          <w:tcPr>
            <w:tcW w:w="392" w:type="pct"/>
            <w:tcBorders>
              <w:top w:val="single" w:sz="4" w:space="0" w:color="auto"/>
              <w:left w:val="single" w:sz="4" w:space="0" w:color="auto"/>
              <w:bottom w:val="single" w:sz="4" w:space="0" w:color="auto"/>
              <w:right w:val="single" w:sz="4" w:space="0" w:color="auto"/>
            </w:tcBorders>
            <w:vAlign w:val="center"/>
            <w:hideMark/>
          </w:tcPr>
          <w:p w14:paraId="3AA45A68"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0.000</w:t>
            </w:r>
          </w:p>
        </w:tc>
      </w:tr>
      <w:tr w:rsidR="00961BE6" w14:paraId="00CD8780" w14:textId="77777777" w:rsidTr="00961BE6">
        <w:tc>
          <w:tcPr>
            <w:tcW w:w="858" w:type="pct"/>
            <w:tcBorders>
              <w:top w:val="single" w:sz="4" w:space="0" w:color="auto"/>
              <w:left w:val="single" w:sz="4" w:space="0" w:color="auto"/>
              <w:bottom w:val="single" w:sz="4" w:space="0" w:color="auto"/>
              <w:right w:val="single" w:sz="4" w:space="0" w:color="auto"/>
            </w:tcBorders>
            <w:vAlign w:val="center"/>
            <w:hideMark/>
          </w:tcPr>
          <w:p w14:paraId="31AC8240"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Acute Renal Failure</w:t>
            </w:r>
          </w:p>
        </w:tc>
        <w:tc>
          <w:tcPr>
            <w:tcW w:w="670" w:type="pct"/>
            <w:tcBorders>
              <w:top w:val="single" w:sz="4" w:space="0" w:color="auto"/>
              <w:left w:val="single" w:sz="4" w:space="0" w:color="auto"/>
              <w:bottom w:val="single" w:sz="4" w:space="0" w:color="auto"/>
              <w:right w:val="single" w:sz="4" w:space="0" w:color="auto"/>
            </w:tcBorders>
            <w:vAlign w:val="center"/>
            <w:hideMark/>
          </w:tcPr>
          <w:p w14:paraId="420D949C"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121</w:t>
            </w:r>
          </w:p>
          <w:p w14:paraId="1E0B09D4"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1,1%</w:t>
            </w:r>
          </w:p>
        </w:tc>
        <w:tc>
          <w:tcPr>
            <w:tcW w:w="616" w:type="pct"/>
            <w:tcBorders>
              <w:top w:val="single" w:sz="4" w:space="0" w:color="auto"/>
              <w:left w:val="single" w:sz="4" w:space="0" w:color="auto"/>
              <w:bottom w:val="single" w:sz="4" w:space="0" w:color="auto"/>
              <w:right w:val="single" w:sz="4" w:space="0" w:color="auto"/>
            </w:tcBorders>
            <w:vAlign w:val="center"/>
            <w:hideMark/>
          </w:tcPr>
          <w:p w14:paraId="2884C5BC"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08A28E39"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5F36DAC6"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35,4</w:t>
            </w:r>
            <w:r>
              <w:rPr>
                <w:rFonts w:ascii="Times New Roman"/>
                <w:sz w:val="16"/>
                <w:szCs w:val="16"/>
              </w:rPr>
              <w:t>±</w:t>
            </w:r>
            <w:r>
              <w:rPr>
                <w:rFonts w:ascii="Times New Roman"/>
                <w:sz w:val="16"/>
                <w:szCs w:val="16"/>
              </w:rPr>
              <w:t>5,4</w:t>
            </w:r>
          </w:p>
          <w:p w14:paraId="5673D55D"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8,3%</w:t>
            </w:r>
          </w:p>
        </w:tc>
        <w:tc>
          <w:tcPr>
            <w:tcW w:w="616" w:type="pct"/>
            <w:tcBorders>
              <w:top w:val="single" w:sz="4" w:space="0" w:color="auto"/>
              <w:left w:val="single" w:sz="4" w:space="0" w:color="auto"/>
              <w:bottom w:val="single" w:sz="4" w:space="0" w:color="auto"/>
              <w:right w:val="single" w:sz="4" w:space="0" w:color="auto"/>
            </w:tcBorders>
            <w:vAlign w:val="center"/>
            <w:hideMark/>
          </w:tcPr>
          <w:p w14:paraId="34CD3F28"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20,1</w:t>
            </w:r>
            <w:r>
              <w:rPr>
                <w:rFonts w:ascii="Times New Roman"/>
                <w:sz w:val="16"/>
                <w:szCs w:val="16"/>
              </w:rPr>
              <w:t>±</w:t>
            </w:r>
            <w:r>
              <w:rPr>
                <w:rFonts w:ascii="Times New Roman"/>
                <w:sz w:val="16"/>
                <w:szCs w:val="16"/>
              </w:rPr>
              <w:t>3,4</w:t>
            </w:r>
          </w:p>
          <w:p w14:paraId="40FCAA5D"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32,3%</w:t>
            </w:r>
          </w:p>
        </w:tc>
        <w:tc>
          <w:tcPr>
            <w:tcW w:w="616" w:type="pct"/>
            <w:tcBorders>
              <w:top w:val="single" w:sz="4" w:space="0" w:color="auto"/>
              <w:left w:val="single" w:sz="4" w:space="0" w:color="auto"/>
              <w:bottom w:val="single" w:sz="4" w:space="0" w:color="auto"/>
              <w:right w:val="single" w:sz="4" w:space="0" w:color="auto"/>
            </w:tcBorders>
            <w:vAlign w:val="center"/>
            <w:hideMark/>
          </w:tcPr>
          <w:p w14:paraId="38207A8B"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10,9</w:t>
            </w:r>
            <w:r>
              <w:rPr>
                <w:rFonts w:ascii="Times New Roman"/>
                <w:sz w:val="16"/>
                <w:szCs w:val="16"/>
              </w:rPr>
              <w:t>±</w:t>
            </w:r>
            <w:r>
              <w:rPr>
                <w:rFonts w:ascii="Times New Roman"/>
                <w:sz w:val="16"/>
                <w:szCs w:val="16"/>
              </w:rPr>
              <w:t>3,5</w:t>
            </w:r>
          </w:p>
          <w:p w14:paraId="5109E848"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77,8%</w:t>
            </w:r>
          </w:p>
        </w:tc>
        <w:tc>
          <w:tcPr>
            <w:tcW w:w="392" w:type="pct"/>
            <w:tcBorders>
              <w:top w:val="single" w:sz="4" w:space="0" w:color="auto"/>
              <w:left w:val="single" w:sz="4" w:space="0" w:color="auto"/>
              <w:bottom w:val="single" w:sz="4" w:space="0" w:color="auto"/>
              <w:right w:val="single" w:sz="4" w:space="0" w:color="auto"/>
            </w:tcBorders>
            <w:vAlign w:val="center"/>
            <w:hideMark/>
          </w:tcPr>
          <w:p w14:paraId="0420FE6E"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0.000</w:t>
            </w:r>
          </w:p>
        </w:tc>
      </w:tr>
      <w:tr w:rsidR="00961BE6" w14:paraId="0B37EF07" w14:textId="77777777" w:rsidTr="00961BE6">
        <w:tc>
          <w:tcPr>
            <w:tcW w:w="858" w:type="pct"/>
            <w:tcBorders>
              <w:top w:val="single" w:sz="4" w:space="0" w:color="auto"/>
              <w:left w:val="single" w:sz="4" w:space="0" w:color="auto"/>
              <w:bottom w:val="single" w:sz="4" w:space="0" w:color="auto"/>
              <w:right w:val="single" w:sz="4" w:space="0" w:color="auto"/>
            </w:tcBorders>
            <w:vAlign w:val="center"/>
            <w:hideMark/>
          </w:tcPr>
          <w:p w14:paraId="67D3DC31"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Hypernatremia</w:t>
            </w:r>
          </w:p>
        </w:tc>
        <w:tc>
          <w:tcPr>
            <w:tcW w:w="670" w:type="pct"/>
            <w:tcBorders>
              <w:top w:val="single" w:sz="4" w:space="0" w:color="auto"/>
              <w:left w:val="single" w:sz="4" w:space="0" w:color="auto"/>
              <w:bottom w:val="single" w:sz="4" w:space="0" w:color="auto"/>
              <w:right w:val="single" w:sz="4" w:space="0" w:color="auto"/>
            </w:tcBorders>
            <w:vAlign w:val="center"/>
            <w:hideMark/>
          </w:tcPr>
          <w:p w14:paraId="45B32176"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105,3</w:t>
            </w:r>
          </w:p>
          <w:p w14:paraId="0417931F"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1,1%</w:t>
            </w:r>
          </w:p>
        </w:tc>
        <w:tc>
          <w:tcPr>
            <w:tcW w:w="616" w:type="pct"/>
            <w:tcBorders>
              <w:top w:val="single" w:sz="4" w:space="0" w:color="auto"/>
              <w:left w:val="single" w:sz="4" w:space="0" w:color="auto"/>
              <w:bottom w:val="single" w:sz="4" w:space="0" w:color="auto"/>
              <w:right w:val="single" w:sz="4" w:space="0" w:color="auto"/>
            </w:tcBorders>
            <w:vAlign w:val="center"/>
            <w:hideMark/>
          </w:tcPr>
          <w:p w14:paraId="1773CB47"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504A336A"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49A3546E"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19EAE185"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27</w:t>
            </w:r>
          </w:p>
          <w:p w14:paraId="62DA71D2"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1,6%</w:t>
            </w:r>
          </w:p>
        </w:tc>
        <w:tc>
          <w:tcPr>
            <w:tcW w:w="616" w:type="pct"/>
            <w:tcBorders>
              <w:top w:val="single" w:sz="4" w:space="0" w:color="auto"/>
              <w:left w:val="single" w:sz="4" w:space="0" w:color="auto"/>
              <w:bottom w:val="single" w:sz="4" w:space="0" w:color="auto"/>
              <w:right w:val="single" w:sz="4" w:space="0" w:color="auto"/>
            </w:tcBorders>
            <w:vAlign w:val="center"/>
            <w:hideMark/>
          </w:tcPr>
          <w:p w14:paraId="714D8291"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11,7</w:t>
            </w:r>
            <w:r>
              <w:rPr>
                <w:rFonts w:ascii="Times New Roman"/>
                <w:sz w:val="16"/>
                <w:szCs w:val="16"/>
              </w:rPr>
              <w:t>±</w:t>
            </w:r>
            <w:r>
              <w:rPr>
                <w:rFonts w:ascii="Times New Roman"/>
                <w:sz w:val="16"/>
                <w:szCs w:val="16"/>
              </w:rPr>
              <w:t>0,1</w:t>
            </w:r>
          </w:p>
          <w:p w14:paraId="4596E97D"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4,4%</w:t>
            </w:r>
          </w:p>
        </w:tc>
        <w:tc>
          <w:tcPr>
            <w:tcW w:w="392" w:type="pct"/>
            <w:tcBorders>
              <w:top w:val="single" w:sz="4" w:space="0" w:color="auto"/>
              <w:left w:val="single" w:sz="4" w:space="0" w:color="auto"/>
              <w:bottom w:val="single" w:sz="4" w:space="0" w:color="auto"/>
              <w:right w:val="single" w:sz="4" w:space="0" w:color="auto"/>
            </w:tcBorders>
            <w:vAlign w:val="center"/>
            <w:hideMark/>
          </w:tcPr>
          <w:p w14:paraId="49884124"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0.019</w:t>
            </w:r>
          </w:p>
        </w:tc>
      </w:tr>
      <w:tr w:rsidR="00961BE6" w14:paraId="6AB8CED2" w14:textId="77777777" w:rsidTr="00961BE6">
        <w:tc>
          <w:tcPr>
            <w:tcW w:w="858" w:type="pct"/>
            <w:tcBorders>
              <w:top w:val="single" w:sz="4" w:space="0" w:color="auto"/>
              <w:left w:val="single" w:sz="4" w:space="0" w:color="auto"/>
              <w:bottom w:val="single" w:sz="4" w:space="0" w:color="auto"/>
              <w:right w:val="single" w:sz="4" w:space="0" w:color="auto"/>
            </w:tcBorders>
            <w:vAlign w:val="center"/>
            <w:hideMark/>
          </w:tcPr>
          <w:p w14:paraId="7BD99710"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Hypoglisemia</w:t>
            </w:r>
          </w:p>
        </w:tc>
        <w:tc>
          <w:tcPr>
            <w:tcW w:w="670" w:type="pct"/>
            <w:tcBorders>
              <w:top w:val="single" w:sz="4" w:space="0" w:color="auto"/>
              <w:left w:val="single" w:sz="4" w:space="0" w:color="auto"/>
              <w:bottom w:val="single" w:sz="4" w:space="0" w:color="auto"/>
              <w:right w:val="single" w:sz="4" w:space="0" w:color="auto"/>
            </w:tcBorders>
            <w:vAlign w:val="center"/>
            <w:hideMark/>
          </w:tcPr>
          <w:p w14:paraId="65853181"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110</w:t>
            </w:r>
          </w:p>
          <w:p w14:paraId="41C902E5"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1,1%</w:t>
            </w:r>
          </w:p>
        </w:tc>
        <w:tc>
          <w:tcPr>
            <w:tcW w:w="616" w:type="pct"/>
            <w:tcBorders>
              <w:top w:val="single" w:sz="4" w:space="0" w:color="auto"/>
              <w:left w:val="single" w:sz="4" w:space="0" w:color="auto"/>
              <w:bottom w:val="single" w:sz="4" w:space="0" w:color="auto"/>
              <w:right w:val="single" w:sz="4" w:space="0" w:color="auto"/>
            </w:tcBorders>
            <w:vAlign w:val="center"/>
            <w:hideMark/>
          </w:tcPr>
          <w:p w14:paraId="5780EDA5"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74,3</w:t>
            </w:r>
            <w:r>
              <w:rPr>
                <w:rFonts w:ascii="Times New Roman"/>
                <w:sz w:val="16"/>
                <w:szCs w:val="16"/>
              </w:rPr>
              <w:t>±</w:t>
            </w:r>
            <w:r>
              <w:rPr>
                <w:rFonts w:ascii="Times New Roman"/>
                <w:sz w:val="16"/>
                <w:szCs w:val="16"/>
              </w:rPr>
              <w:t>11</w:t>
            </w:r>
          </w:p>
          <w:p w14:paraId="0829C6B6"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3,0%</w:t>
            </w:r>
          </w:p>
        </w:tc>
        <w:tc>
          <w:tcPr>
            <w:tcW w:w="616" w:type="pct"/>
            <w:tcBorders>
              <w:top w:val="single" w:sz="4" w:space="0" w:color="auto"/>
              <w:left w:val="single" w:sz="4" w:space="0" w:color="auto"/>
              <w:bottom w:val="single" w:sz="4" w:space="0" w:color="auto"/>
              <w:right w:val="single" w:sz="4" w:space="0" w:color="auto"/>
            </w:tcBorders>
            <w:vAlign w:val="center"/>
            <w:hideMark/>
          </w:tcPr>
          <w:p w14:paraId="45B8D995"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48,5</w:t>
            </w:r>
            <w:r>
              <w:rPr>
                <w:rFonts w:ascii="Times New Roman"/>
                <w:sz w:val="16"/>
                <w:szCs w:val="16"/>
              </w:rPr>
              <w:t>±</w:t>
            </w:r>
            <w:r>
              <w:rPr>
                <w:rFonts w:ascii="Times New Roman"/>
                <w:sz w:val="16"/>
                <w:szCs w:val="16"/>
              </w:rPr>
              <w:t>3,9</w:t>
            </w:r>
          </w:p>
          <w:p w14:paraId="5F7FFC13"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2,1%</w:t>
            </w:r>
          </w:p>
        </w:tc>
        <w:tc>
          <w:tcPr>
            <w:tcW w:w="616" w:type="pct"/>
            <w:tcBorders>
              <w:top w:val="single" w:sz="4" w:space="0" w:color="auto"/>
              <w:left w:val="single" w:sz="4" w:space="0" w:color="auto"/>
              <w:bottom w:val="single" w:sz="4" w:space="0" w:color="auto"/>
              <w:right w:val="single" w:sz="4" w:space="0" w:color="auto"/>
            </w:tcBorders>
            <w:vAlign w:val="center"/>
            <w:hideMark/>
          </w:tcPr>
          <w:p w14:paraId="4BF641AA"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34</w:t>
            </w:r>
          </w:p>
          <w:p w14:paraId="4141EBA7"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0,9%</w:t>
            </w:r>
          </w:p>
        </w:tc>
        <w:tc>
          <w:tcPr>
            <w:tcW w:w="616" w:type="pct"/>
            <w:tcBorders>
              <w:top w:val="single" w:sz="4" w:space="0" w:color="auto"/>
              <w:left w:val="single" w:sz="4" w:space="0" w:color="auto"/>
              <w:bottom w:val="single" w:sz="4" w:space="0" w:color="auto"/>
              <w:right w:val="single" w:sz="4" w:space="0" w:color="auto"/>
            </w:tcBorders>
            <w:vAlign w:val="center"/>
            <w:hideMark/>
          </w:tcPr>
          <w:p w14:paraId="18FA37CB"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25,4</w:t>
            </w:r>
            <w:r>
              <w:rPr>
                <w:rFonts w:ascii="Times New Roman"/>
                <w:sz w:val="16"/>
                <w:szCs w:val="16"/>
              </w:rPr>
              <w:t>±</w:t>
            </w:r>
            <w:r>
              <w:rPr>
                <w:rFonts w:ascii="Times New Roman"/>
                <w:sz w:val="16"/>
                <w:szCs w:val="16"/>
              </w:rPr>
              <w:t>3,3</w:t>
            </w:r>
          </w:p>
          <w:p w14:paraId="523B1D38"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3,2%</w:t>
            </w:r>
          </w:p>
        </w:tc>
        <w:tc>
          <w:tcPr>
            <w:tcW w:w="616" w:type="pct"/>
            <w:tcBorders>
              <w:top w:val="single" w:sz="4" w:space="0" w:color="auto"/>
              <w:left w:val="single" w:sz="4" w:space="0" w:color="auto"/>
              <w:bottom w:val="single" w:sz="4" w:space="0" w:color="auto"/>
              <w:right w:val="single" w:sz="4" w:space="0" w:color="auto"/>
            </w:tcBorders>
            <w:vAlign w:val="center"/>
            <w:hideMark/>
          </w:tcPr>
          <w:p w14:paraId="40DCC935"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w:t>
            </w:r>
          </w:p>
        </w:tc>
        <w:tc>
          <w:tcPr>
            <w:tcW w:w="392" w:type="pct"/>
            <w:tcBorders>
              <w:top w:val="single" w:sz="4" w:space="0" w:color="auto"/>
              <w:left w:val="single" w:sz="4" w:space="0" w:color="auto"/>
              <w:bottom w:val="single" w:sz="4" w:space="0" w:color="auto"/>
              <w:right w:val="single" w:sz="4" w:space="0" w:color="auto"/>
            </w:tcBorders>
            <w:vAlign w:val="center"/>
            <w:hideMark/>
          </w:tcPr>
          <w:p w14:paraId="711FC440"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0.620</w:t>
            </w:r>
          </w:p>
        </w:tc>
      </w:tr>
      <w:tr w:rsidR="00961BE6" w14:paraId="3DFB5160" w14:textId="77777777" w:rsidTr="00961BE6">
        <w:tc>
          <w:tcPr>
            <w:tcW w:w="858" w:type="pct"/>
            <w:tcBorders>
              <w:top w:val="single" w:sz="4" w:space="0" w:color="auto"/>
              <w:left w:val="single" w:sz="4" w:space="0" w:color="auto"/>
              <w:bottom w:val="single" w:sz="4" w:space="0" w:color="auto"/>
              <w:right w:val="single" w:sz="4" w:space="0" w:color="auto"/>
            </w:tcBorders>
            <w:vAlign w:val="center"/>
            <w:hideMark/>
          </w:tcPr>
          <w:p w14:paraId="4EE34CFE"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Polycythemia</w:t>
            </w:r>
          </w:p>
        </w:tc>
        <w:tc>
          <w:tcPr>
            <w:tcW w:w="670" w:type="pct"/>
            <w:tcBorders>
              <w:top w:val="single" w:sz="4" w:space="0" w:color="auto"/>
              <w:left w:val="single" w:sz="4" w:space="0" w:color="auto"/>
              <w:bottom w:val="single" w:sz="4" w:space="0" w:color="auto"/>
              <w:right w:val="single" w:sz="4" w:space="0" w:color="auto"/>
            </w:tcBorders>
            <w:vAlign w:val="center"/>
            <w:hideMark/>
          </w:tcPr>
          <w:p w14:paraId="010D8C09"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91,4</w:t>
            </w:r>
          </w:p>
          <w:p w14:paraId="7FC1EDFD"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1,1%</w:t>
            </w:r>
          </w:p>
        </w:tc>
        <w:tc>
          <w:tcPr>
            <w:tcW w:w="616" w:type="pct"/>
            <w:tcBorders>
              <w:top w:val="single" w:sz="4" w:space="0" w:color="auto"/>
              <w:left w:val="single" w:sz="4" w:space="0" w:color="auto"/>
              <w:bottom w:val="single" w:sz="4" w:space="0" w:color="auto"/>
              <w:right w:val="single" w:sz="4" w:space="0" w:color="auto"/>
            </w:tcBorders>
            <w:vAlign w:val="center"/>
            <w:hideMark/>
          </w:tcPr>
          <w:p w14:paraId="4DD3F002"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69</w:t>
            </w:r>
            <w:r>
              <w:rPr>
                <w:rFonts w:ascii="Times New Roman"/>
                <w:sz w:val="16"/>
                <w:szCs w:val="16"/>
              </w:rPr>
              <w:t>±</w:t>
            </w:r>
            <w:r>
              <w:rPr>
                <w:rFonts w:ascii="Times New Roman"/>
                <w:sz w:val="16"/>
                <w:szCs w:val="16"/>
              </w:rPr>
              <w:t>3,1</w:t>
            </w:r>
          </w:p>
          <w:p w14:paraId="56AB4DB9"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2,5%</w:t>
            </w:r>
          </w:p>
        </w:tc>
        <w:tc>
          <w:tcPr>
            <w:tcW w:w="616" w:type="pct"/>
            <w:tcBorders>
              <w:top w:val="single" w:sz="4" w:space="0" w:color="auto"/>
              <w:left w:val="single" w:sz="4" w:space="0" w:color="auto"/>
              <w:bottom w:val="single" w:sz="4" w:space="0" w:color="auto"/>
              <w:right w:val="single" w:sz="4" w:space="0" w:color="auto"/>
            </w:tcBorders>
            <w:vAlign w:val="center"/>
            <w:hideMark/>
          </w:tcPr>
          <w:p w14:paraId="04D1999D"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53,4</w:t>
            </w:r>
            <w:r>
              <w:rPr>
                <w:rFonts w:ascii="Times New Roman"/>
                <w:sz w:val="16"/>
                <w:szCs w:val="16"/>
              </w:rPr>
              <w:t>±</w:t>
            </w:r>
            <w:r>
              <w:rPr>
                <w:rFonts w:ascii="Times New Roman"/>
                <w:sz w:val="16"/>
                <w:szCs w:val="16"/>
              </w:rPr>
              <w:t>7,9</w:t>
            </w:r>
          </w:p>
          <w:p w14:paraId="77FEC29F"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2,1%</w:t>
            </w:r>
          </w:p>
        </w:tc>
        <w:tc>
          <w:tcPr>
            <w:tcW w:w="616" w:type="pct"/>
            <w:tcBorders>
              <w:top w:val="single" w:sz="4" w:space="0" w:color="auto"/>
              <w:left w:val="single" w:sz="4" w:space="0" w:color="auto"/>
              <w:bottom w:val="single" w:sz="4" w:space="0" w:color="auto"/>
              <w:right w:val="single" w:sz="4" w:space="0" w:color="auto"/>
            </w:tcBorders>
            <w:vAlign w:val="center"/>
            <w:hideMark/>
          </w:tcPr>
          <w:p w14:paraId="037D3C82"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76870C88"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35F8BE49"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w:t>
            </w:r>
          </w:p>
        </w:tc>
        <w:tc>
          <w:tcPr>
            <w:tcW w:w="392" w:type="pct"/>
            <w:tcBorders>
              <w:top w:val="single" w:sz="4" w:space="0" w:color="auto"/>
              <w:left w:val="single" w:sz="4" w:space="0" w:color="auto"/>
              <w:bottom w:val="single" w:sz="4" w:space="0" w:color="auto"/>
              <w:right w:val="single" w:sz="4" w:space="0" w:color="auto"/>
            </w:tcBorders>
            <w:vAlign w:val="center"/>
            <w:hideMark/>
          </w:tcPr>
          <w:p w14:paraId="22A8BA2F"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0.354</w:t>
            </w:r>
          </w:p>
        </w:tc>
      </w:tr>
      <w:tr w:rsidR="00961BE6" w14:paraId="7A025C66" w14:textId="77777777" w:rsidTr="00961BE6">
        <w:tc>
          <w:tcPr>
            <w:tcW w:w="858" w:type="pct"/>
            <w:tcBorders>
              <w:top w:val="single" w:sz="4" w:space="0" w:color="auto"/>
              <w:left w:val="single" w:sz="4" w:space="0" w:color="auto"/>
              <w:bottom w:val="single" w:sz="4" w:space="0" w:color="auto"/>
              <w:right w:val="single" w:sz="4" w:space="0" w:color="auto"/>
            </w:tcBorders>
            <w:vAlign w:val="center"/>
            <w:hideMark/>
          </w:tcPr>
          <w:p w14:paraId="6D6DA178"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Gastroenteritis</w:t>
            </w:r>
          </w:p>
        </w:tc>
        <w:tc>
          <w:tcPr>
            <w:tcW w:w="670" w:type="pct"/>
            <w:tcBorders>
              <w:top w:val="single" w:sz="4" w:space="0" w:color="auto"/>
              <w:left w:val="single" w:sz="4" w:space="0" w:color="auto"/>
              <w:bottom w:val="single" w:sz="4" w:space="0" w:color="auto"/>
              <w:right w:val="single" w:sz="4" w:space="0" w:color="auto"/>
            </w:tcBorders>
            <w:vAlign w:val="center"/>
            <w:hideMark/>
          </w:tcPr>
          <w:p w14:paraId="21D87161"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140,9</w:t>
            </w:r>
            <w:r>
              <w:rPr>
                <w:rFonts w:ascii="Times New Roman"/>
                <w:sz w:val="16"/>
                <w:szCs w:val="16"/>
              </w:rPr>
              <w:t>±</w:t>
            </w:r>
            <w:r>
              <w:rPr>
                <w:rFonts w:ascii="Times New Roman"/>
                <w:sz w:val="16"/>
                <w:szCs w:val="16"/>
              </w:rPr>
              <w:t>5,9</w:t>
            </w:r>
          </w:p>
          <w:p w14:paraId="07826897"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2,2%</w:t>
            </w:r>
          </w:p>
        </w:tc>
        <w:tc>
          <w:tcPr>
            <w:tcW w:w="616" w:type="pct"/>
            <w:tcBorders>
              <w:top w:val="single" w:sz="4" w:space="0" w:color="auto"/>
              <w:left w:val="single" w:sz="4" w:space="0" w:color="auto"/>
              <w:bottom w:val="single" w:sz="4" w:space="0" w:color="auto"/>
              <w:right w:val="single" w:sz="4" w:space="0" w:color="auto"/>
            </w:tcBorders>
            <w:vAlign w:val="center"/>
            <w:hideMark/>
          </w:tcPr>
          <w:p w14:paraId="30F30DDF"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71</w:t>
            </w:r>
          </w:p>
          <w:p w14:paraId="7767F382"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0,5%</w:t>
            </w:r>
          </w:p>
        </w:tc>
        <w:tc>
          <w:tcPr>
            <w:tcW w:w="616" w:type="pct"/>
            <w:tcBorders>
              <w:top w:val="single" w:sz="4" w:space="0" w:color="auto"/>
              <w:left w:val="single" w:sz="4" w:space="0" w:color="auto"/>
              <w:bottom w:val="single" w:sz="4" w:space="0" w:color="auto"/>
              <w:right w:val="single" w:sz="4" w:space="0" w:color="auto"/>
            </w:tcBorders>
            <w:vAlign w:val="center"/>
            <w:hideMark/>
          </w:tcPr>
          <w:p w14:paraId="69F5B7B6"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53,1</w:t>
            </w:r>
            <w:r>
              <w:rPr>
                <w:rFonts w:ascii="Times New Roman"/>
                <w:sz w:val="16"/>
                <w:szCs w:val="16"/>
              </w:rPr>
              <w:t>±</w:t>
            </w:r>
            <w:r>
              <w:rPr>
                <w:rFonts w:ascii="Times New Roman"/>
                <w:sz w:val="16"/>
                <w:szCs w:val="16"/>
              </w:rPr>
              <w:t>6,1</w:t>
            </w:r>
          </w:p>
          <w:p w14:paraId="1295BA21"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3,1%</w:t>
            </w:r>
          </w:p>
        </w:tc>
        <w:tc>
          <w:tcPr>
            <w:tcW w:w="616" w:type="pct"/>
            <w:tcBorders>
              <w:top w:val="single" w:sz="4" w:space="0" w:color="auto"/>
              <w:left w:val="single" w:sz="4" w:space="0" w:color="auto"/>
              <w:bottom w:val="single" w:sz="4" w:space="0" w:color="auto"/>
              <w:right w:val="single" w:sz="4" w:space="0" w:color="auto"/>
            </w:tcBorders>
            <w:vAlign w:val="center"/>
            <w:hideMark/>
          </w:tcPr>
          <w:p w14:paraId="151244E1"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35,5</w:t>
            </w:r>
            <w:r>
              <w:rPr>
                <w:rFonts w:ascii="Times New Roman"/>
                <w:sz w:val="16"/>
                <w:szCs w:val="16"/>
              </w:rPr>
              <w:t>±</w:t>
            </w:r>
            <w:r>
              <w:rPr>
                <w:rFonts w:ascii="Times New Roman"/>
                <w:sz w:val="16"/>
                <w:szCs w:val="16"/>
              </w:rPr>
              <w:t>3,5</w:t>
            </w:r>
          </w:p>
          <w:p w14:paraId="78E92AC0"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1,9%</w:t>
            </w:r>
          </w:p>
        </w:tc>
        <w:tc>
          <w:tcPr>
            <w:tcW w:w="616" w:type="pct"/>
            <w:tcBorders>
              <w:top w:val="single" w:sz="4" w:space="0" w:color="auto"/>
              <w:left w:val="single" w:sz="4" w:space="0" w:color="auto"/>
              <w:bottom w:val="single" w:sz="4" w:space="0" w:color="auto"/>
              <w:right w:val="single" w:sz="4" w:space="0" w:color="auto"/>
            </w:tcBorders>
            <w:vAlign w:val="center"/>
            <w:hideMark/>
          </w:tcPr>
          <w:p w14:paraId="2419FEBD"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4,5</w:t>
            </w:r>
            <w:r>
              <w:rPr>
                <w:rFonts w:ascii="Times New Roman"/>
                <w:sz w:val="16"/>
                <w:szCs w:val="16"/>
              </w:rPr>
              <w:t>±</w:t>
            </w:r>
            <w:r>
              <w:rPr>
                <w:rFonts w:ascii="Times New Roman"/>
                <w:sz w:val="16"/>
                <w:szCs w:val="16"/>
              </w:rPr>
              <w:t>12</w:t>
            </w:r>
          </w:p>
          <w:p w14:paraId="144E5D39"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3,2%</w:t>
            </w:r>
          </w:p>
        </w:tc>
        <w:tc>
          <w:tcPr>
            <w:tcW w:w="616" w:type="pct"/>
            <w:tcBorders>
              <w:top w:val="single" w:sz="4" w:space="0" w:color="auto"/>
              <w:left w:val="single" w:sz="4" w:space="0" w:color="auto"/>
              <w:bottom w:val="single" w:sz="4" w:space="0" w:color="auto"/>
              <w:right w:val="single" w:sz="4" w:space="0" w:color="auto"/>
            </w:tcBorders>
            <w:vAlign w:val="center"/>
            <w:hideMark/>
          </w:tcPr>
          <w:p w14:paraId="1D5B0EE7" w14:textId="77777777" w:rsidR="00961BE6" w:rsidRDefault="00961BE6">
            <w:pPr>
              <w:spacing w:after="200"/>
              <w:rPr>
                <w:rFonts w:ascii="Times New Roman" w:eastAsia="Batang" w:hAnsi="Times New Roman"/>
                <w:kern w:val="2"/>
                <w:sz w:val="16"/>
                <w:szCs w:val="16"/>
                <w:lang w:val="en-US" w:eastAsia="ko-KR"/>
              </w:rPr>
            </w:pPr>
            <w:r>
              <w:rPr>
                <w:rFonts w:ascii="Times New Roman"/>
                <w:sz w:val="16"/>
                <w:szCs w:val="16"/>
              </w:rPr>
              <w:t>12</w:t>
            </w:r>
          </w:p>
          <w:p w14:paraId="49577A6D"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2,2%</w:t>
            </w:r>
          </w:p>
        </w:tc>
        <w:tc>
          <w:tcPr>
            <w:tcW w:w="392" w:type="pct"/>
            <w:tcBorders>
              <w:top w:val="single" w:sz="4" w:space="0" w:color="auto"/>
              <w:left w:val="single" w:sz="4" w:space="0" w:color="auto"/>
              <w:bottom w:val="single" w:sz="4" w:space="0" w:color="auto"/>
              <w:right w:val="single" w:sz="4" w:space="0" w:color="auto"/>
            </w:tcBorders>
            <w:vAlign w:val="center"/>
            <w:hideMark/>
          </w:tcPr>
          <w:p w14:paraId="3C007E84" w14:textId="77777777" w:rsidR="00961BE6" w:rsidRDefault="00961BE6">
            <w:pPr>
              <w:widowControl w:val="0"/>
              <w:wordWrap w:val="0"/>
              <w:autoSpaceDE w:val="0"/>
              <w:autoSpaceDN w:val="0"/>
              <w:spacing w:after="200"/>
              <w:jc w:val="both"/>
              <w:rPr>
                <w:rFonts w:ascii="Times New Roman" w:eastAsia="Batang" w:hAnsi="Times New Roman"/>
                <w:kern w:val="2"/>
                <w:sz w:val="16"/>
                <w:szCs w:val="16"/>
                <w:lang w:val="en-US" w:eastAsia="ko-KR"/>
              </w:rPr>
            </w:pPr>
            <w:r>
              <w:rPr>
                <w:rFonts w:ascii="Times New Roman"/>
                <w:sz w:val="16"/>
                <w:szCs w:val="16"/>
              </w:rPr>
              <w:t>0.611</w:t>
            </w:r>
          </w:p>
        </w:tc>
      </w:tr>
    </w:tbl>
    <w:p w14:paraId="479FBC13" w14:textId="77777777" w:rsidR="00961BE6" w:rsidRDefault="00961BE6" w:rsidP="00961BE6">
      <w:pPr>
        <w:spacing w:after="200" w:line="480" w:lineRule="auto"/>
        <w:rPr>
          <w:rFonts w:ascii="Times New Roman" w:eastAsia="Calibri"/>
          <w:sz w:val="20"/>
          <w:szCs w:val="20"/>
          <w:lang w:eastAsia="en-US"/>
        </w:rPr>
      </w:pPr>
      <w:r>
        <w:rPr>
          <w:rFonts w:ascii="Times New Roman" w:eastAsia="Calibri"/>
          <w:szCs w:val="20"/>
          <w:lang w:eastAsia="en-US"/>
        </w:rPr>
        <w:t>٭Fisher</w:t>
      </w:r>
      <w:r>
        <w:rPr>
          <w:rFonts w:ascii="Times New Roman" w:eastAsia="Calibri"/>
          <w:szCs w:val="20"/>
          <w:lang w:eastAsia="en-US"/>
        </w:rPr>
        <w:t>’</w:t>
      </w:r>
      <w:r>
        <w:rPr>
          <w:rFonts w:ascii="Times New Roman" w:eastAsia="Calibri"/>
          <w:szCs w:val="20"/>
          <w:lang w:eastAsia="en-US"/>
        </w:rPr>
        <w:t xml:space="preserve">s Exact </w:t>
      </w:r>
      <w:proofErr w:type="gramStart"/>
      <w:r>
        <w:rPr>
          <w:rFonts w:ascii="Times New Roman" w:eastAsia="Calibri"/>
          <w:szCs w:val="20"/>
          <w:lang w:eastAsia="en-US"/>
        </w:rPr>
        <w:t>test ,Pearson</w:t>
      </w:r>
      <w:proofErr w:type="gramEnd"/>
      <w:r>
        <w:rPr>
          <w:rFonts w:ascii="Times New Roman" w:eastAsia="Calibri"/>
          <w:szCs w:val="20"/>
          <w:lang w:eastAsia="en-US"/>
        </w:rPr>
        <w:t xml:space="preserve"> Chi-Square test</w:t>
      </w:r>
    </w:p>
    <w:p w14:paraId="55FF0AE1" w14:textId="77777777" w:rsidR="00961BE6" w:rsidRDefault="00961BE6" w:rsidP="00961BE6">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100" w:beforeAutospacing="1" w:after="100" w:afterAutospacing="1" w:line="480" w:lineRule="auto"/>
        <w:contextualSpacing/>
        <w:rPr>
          <w:rFonts w:ascii="Times New Roman" w:eastAsia="Malgun Gothic"/>
          <w:color w:val="808080"/>
          <w:kern w:val="2"/>
          <w:szCs w:val="24"/>
          <w:lang w:val="en-US" w:eastAsia="ko-KR"/>
        </w:rPr>
      </w:pPr>
    </w:p>
    <w:p w14:paraId="34513BBF" w14:textId="77777777" w:rsidR="00961BE6" w:rsidRDefault="00961BE6" w:rsidP="00961BE6">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100" w:beforeAutospacing="1" w:after="100" w:afterAutospacing="1" w:line="480" w:lineRule="auto"/>
        <w:contextualSpacing/>
        <w:rPr>
          <w:rFonts w:ascii="Times New Roman" w:eastAsia="Malgun Gothic"/>
        </w:rPr>
      </w:pPr>
    </w:p>
    <w:p w14:paraId="2B6DD858" w14:textId="77777777" w:rsidR="00961BE6" w:rsidRDefault="00961BE6" w:rsidP="00961BE6">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100" w:beforeAutospacing="1" w:after="100" w:afterAutospacing="1" w:line="480" w:lineRule="auto"/>
        <w:contextualSpacing/>
        <w:rPr>
          <w:rFonts w:ascii="Times New Roman" w:eastAsia="BatangChe"/>
          <w:b/>
          <w:szCs w:val="20"/>
        </w:rPr>
      </w:pPr>
    </w:p>
    <w:p w14:paraId="30116629" w14:textId="77777777" w:rsidR="00961BE6" w:rsidRDefault="00961BE6" w:rsidP="00961BE6">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100" w:beforeAutospacing="1" w:after="100" w:afterAutospacing="1" w:line="480" w:lineRule="auto"/>
        <w:contextualSpacing/>
        <w:rPr>
          <w:rFonts w:ascii="Times New Roman" w:eastAsia="BatangChe"/>
          <w:b/>
          <w:szCs w:val="20"/>
        </w:rPr>
      </w:pPr>
    </w:p>
    <w:p w14:paraId="26890398" w14:textId="77777777" w:rsidR="00961BE6" w:rsidRDefault="00961BE6" w:rsidP="00961BE6">
      <w:pPr>
        <w:spacing w:line="480" w:lineRule="auto"/>
        <w:rPr>
          <w:rFonts w:ascii="Times New Roman" w:eastAsia="Batang"/>
          <w:kern w:val="2"/>
          <w:sz w:val="24"/>
          <w:szCs w:val="24"/>
        </w:rPr>
      </w:pPr>
      <w:proofErr w:type="gramStart"/>
      <w:r>
        <w:rPr>
          <w:rFonts w:ascii="Times New Roman" w:eastAsia="Calibri"/>
          <w:b/>
          <w:bCs/>
          <w:szCs w:val="20"/>
          <w:lang w:val="en-GB" w:eastAsia="en-US"/>
        </w:rPr>
        <w:t>Table 3.</w:t>
      </w:r>
      <w:proofErr w:type="gramEnd"/>
      <w:r>
        <w:rPr>
          <w:rFonts w:ascii="Times New Roman"/>
          <w:sz w:val="24"/>
          <w:lang w:val="en-GB"/>
        </w:rPr>
        <w:t xml:space="preserve"> </w:t>
      </w:r>
      <w:r>
        <w:rPr>
          <w:rFonts w:ascii="Times New Roman"/>
          <w:szCs w:val="20"/>
        </w:rPr>
        <w:t>Reason For Hosp</w:t>
      </w:r>
      <w:r>
        <w:rPr>
          <w:rFonts w:ascii="Times New Roman"/>
          <w:szCs w:val="20"/>
        </w:rPr>
        <w:t>ı</w:t>
      </w:r>
      <w:r>
        <w:rPr>
          <w:rFonts w:ascii="Times New Roman"/>
          <w:szCs w:val="20"/>
        </w:rPr>
        <w:t>tal</w:t>
      </w:r>
      <w:r>
        <w:rPr>
          <w:rFonts w:ascii="Times New Roman"/>
          <w:szCs w:val="20"/>
        </w:rPr>
        <w:t>ı</w:t>
      </w:r>
      <w:r>
        <w:rPr>
          <w:rFonts w:ascii="Times New Roman"/>
          <w:szCs w:val="20"/>
        </w:rPr>
        <w:t>zat</w:t>
      </w:r>
      <w:r>
        <w:rPr>
          <w:rFonts w:ascii="Times New Roman"/>
          <w:szCs w:val="20"/>
        </w:rPr>
        <w:t>ı</w:t>
      </w:r>
      <w:r>
        <w:rPr>
          <w:rFonts w:ascii="Times New Roman"/>
          <w:szCs w:val="20"/>
        </w:rPr>
        <w:t>on and Comorbidite Factors Relationship</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
        <w:gridCol w:w="1417"/>
        <w:gridCol w:w="753"/>
        <w:gridCol w:w="752"/>
        <w:gridCol w:w="845"/>
        <w:gridCol w:w="978"/>
        <w:gridCol w:w="675"/>
        <w:gridCol w:w="752"/>
        <w:gridCol w:w="1102"/>
        <w:gridCol w:w="793"/>
        <w:gridCol w:w="793"/>
        <w:gridCol w:w="701"/>
      </w:tblGrid>
      <w:tr w:rsidR="00961BE6" w14:paraId="6563229C" w14:textId="77777777" w:rsidTr="00961BE6">
        <w:trPr>
          <w:trHeight w:val="166"/>
        </w:trPr>
        <w:tc>
          <w:tcPr>
            <w:tcW w:w="16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5BA9BE" w14:textId="77777777" w:rsidR="00961BE6" w:rsidRDefault="00961BE6">
            <w:pPr>
              <w:widowControl w:val="0"/>
              <w:wordWrap w:val="0"/>
              <w:autoSpaceDE w:val="0"/>
              <w:autoSpaceDN w:val="0"/>
              <w:adjustRightInd w:val="0"/>
              <w:jc w:val="center"/>
              <w:rPr>
                <w:rFonts w:ascii="Times New Roman" w:eastAsia="Batang" w:hAnsi="Times New Roman"/>
                <w:kern w:val="2"/>
                <w:sz w:val="16"/>
                <w:szCs w:val="16"/>
                <w:lang w:val="en-US" w:eastAsia="ko-KR"/>
              </w:rPr>
            </w:pPr>
            <w:r>
              <w:rPr>
                <w:rFonts w:ascii="Times New Roman"/>
                <w:sz w:val="16"/>
                <w:szCs w:val="16"/>
              </w:rPr>
              <w:t>Reason For Hosp</w:t>
            </w:r>
            <w:r>
              <w:rPr>
                <w:rFonts w:ascii="Times New Roman"/>
                <w:sz w:val="16"/>
                <w:szCs w:val="16"/>
              </w:rPr>
              <w:t>ı</w:t>
            </w:r>
            <w:r>
              <w:rPr>
                <w:rFonts w:ascii="Times New Roman"/>
                <w:sz w:val="16"/>
                <w:szCs w:val="16"/>
              </w:rPr>
              <w:t>tal</w:t>
            </w:r>
            <w:r>
              <w:rPr>
                <w:rFonts w:ascii="Times New Roman"/>
                <w:sz w:val="16"/>
                <w:szCs w:val="16"/>
              </w:rPr>
              <w:t>ı</w:t>
            </w:r>
            <w:r>
              <w:rPr>
                <w:rFonts w:ascii="Times New Roman"/>
                <w:sz w:val="16"/>
                <w:szCs w:val="16"/>
              </w:rPr>
              <w:t>zat</w:t>
            </w:r>
            <w:r>
              <w:rPr>
                <w:rFonts w:ascii="Times New Roman"/>
                <w:sz w:val="16"/>
                <w:szCs w:val="16"/>
              </w:rPr>
              <w:t>ı</w:t>
            </w:r>
            <w:r>
              <w:rPr>
                <w:rFonts w:ascii="Times New Roman"/>
                <w:sz w:val="16"/>
                <w:szCs w:val="16"/>
              </w:rPr>
              <w:t>on</w:t>
            </w:r>
          </w:p>
        </w:tc>
        <w:tc>
          <w:tcPr>
            <w:tcW w:w="8142" w:type="dxa"/>
            <w:gridSpan w:val="10"/>
            <w:tcBorders>
              <w:top w:val="single" w:sz="4" w:space="0" w:color="auto"/>
              <w:left w:val="single" w:sz="4" w:space="0" w:color="auto"/>
              <w:bottom w:val="single" w:sz="4" w:space="0" w:color="auto"/>
              <w:right w:val="single" w:sz="4" w:space="0" w:color="auto"/>
            </w:tcBorders>
            <w:vAlign w:val="center"/>
            <w:hideMark/>
          </w:tcPr>
          <w:p w14:paraId="648BE1D2"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Comorbidities</w:t>
            </w:r>
          </w:p>
        </w:tc>
      </w:tr>
      <w:tr w:rsidR="00961BE6" w14:paraId="19682933" w14:textId="77777777" w:rsidTr="00961BE6">
        <w:trPr>
          <w:trHeight w:val="984"/>
        </w:trPr>
        <w:tc>
          <w:tcPr>
            <w:tcW w:w="3078" w:type="dxa"/>
            <w:gridSpan w:val="2"/>
            <w:vMerge/>
            <w:tcBorders>
              <w:top w:val="single" w:sz="4" w:space="0" w:color="auto"/>
              <w:left w:val="single" w:sz="4" w:space="0" w:color="auto"/>
              <w:bottom w:val="single" w:sz="4" w:space="0" w:color="auto"/>
              <w:right w:val="single" w:sz="4" w:space="0" w:color="auto"/>
            </w:tcBorders>
            <w:vAlign w:val="center"/>
            <w:hideMark/>
          </w:tcPr>
          <w:p w14:paraId="2733950A" w14:textId="77777777" w:rsidR="00961BE6" w:rsidRDefault="00961BE6">
            <w:pPr>
              <w:rPr>
                <w:rFonts w:ascii="Times New Roman" w:eastAsia="Batang" w:hAnsi="Times New Roman"/>
                <w:kern w:val="2"/>
                <w:sz w:val="16"/>
                <w:szCs w:val="16"/>
                <w:lang w:val="en-US" w:eastAsia="ko-KR"/>
              </w:rPr>
            </w:pPr>
          </w:p>
        </w:tc>
        <w:tc>
          <w:tcPr>
            <w:tcW w:w="752" w:type="dxa"/>
            <w:tcBorders>
              <w:top w:val="single" w:sz="4" w:space="0" w:color="auto"/>
              <w:left w:val="single" w:sz="4" w:space="0" w:color="auto"/>
              <w:bottom w:val="single" w:sz="4" w:space="0" w:color="auto"/>
              <w:right w:val="single" w:sz="4" w:space="0" w:color="auto"/>
            </w:tcBorders>
            <w:vAlign w:val="center"/>
          </w:tcPr>
          <w:p w14:paraId="00E9565C"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None</w:t>
            </w:r>
          </w:p>
          <w:p w14:paraId="12A2C3F8" w14:textId="77777777" w:rsidR="00961BE6" w:rsidRDefault="00961BE6">
            <w:pPr>
              <w:adjustRightInd w:val="0"/>
              <w:ind w:left="60" w:right="60"/>
              <w:jc w:val="center"/>
              <w:rPr>
                <w:rFonts w:ascii="Times New Roman"/>
                <w:sz w:val="16"/>
                <w:szCs w:val="16"/>
              </w:rPr>
            </w:pPr>
            <w:proofErr w:type="gramStart"/>
            <w:r>
              <w:rPr>
                <w:rFonts w:ascii="Times New Roman"/>
                <w:sz w:val="16"/>
                <w:szCs w:val="16"/>
              </w:rPr>
              <w:t>n</w:t>
            </w:r>
            <w:proofErr w:type="gramEnd"/>
          </w:p>
          <w:p w14:paraId="0944AB95"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52" w:type="dxa"/>
            <w:tcBorders>
              <w:top w:val="single" w:sz="4" w:space="0" w:color="auto"/>
              <w:left w:val="single" w:sz="4" w:space="0" w:color="auto"/>
              <w:bottom w:val="single" w:sz="4" w:space="0" w:color="auto"/>
              <w:right w:val="single" w:sz="4" w:space="0" w:color="auto"/>
            </w:tcBorders>
            <w:vAlign w:val="center"/>
            <w:hideMark/>
          </w:tcPr>
          <w:p w14:paraId="2A7731BC"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MDS</w:t>
            </w:r>
          </w:p>
          <w:p w14:paraId="39BBB6C7"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roofErr w:type="gramStart"/>
            <w:r>
              <w:rPr>
                <w:rFonts w:ascii="Times New Roman"/>
                <w:sz w:val="16"/>
                <w:szCs w:val="16"/>
              </w:rPr>
              <w:t>n</w:t>
            </w:r>
            <w:proofErr w:type="gramEnd"/>
          </w:p>
        </w:tc>
        <w:tc>
          <w:tcPr>
            <w:tcW w:w="845" w:type="dxa"/>
            <w:tcBorders>
              <w:top w:val="single" w:sz="4" w:space="0" w:color="auto"/>
              <w:left w:val="single" w:sz="4" w:space="0" w:color="auto"/>
              <w:bottom w:val="single" w:sz="4" w:space="0" w:color="auto"/>
              <w:right w:val="single" w:sz="4" w:space="0" w:color="auto"/>
            </w:tcBorders>
            <w:vAlign w:val="center"/>
            <w:hideMark/>
          </w:tcPr>
          <w:p w14:paraId="715FB855"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Diabetes</w:t>
            </w:r>
          </w:p>
          <w:p w14:paraId="002F9AC8"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roofErr w:type="gramStart"/>
            <w:r>
              <w:rPr>
                <w:rFonts w:ascii="Times New Roman"/>
                <w:sz w:val="16"/>
                <w:szCs w:val="16"/>
              </w:rPr>
              <w:t>n</w:t>
            </w:r>
            <w:proofErr w:type="gramEnd"/>
          </w:p>
        </w:tc>
        <w:tc>
          <w:tcPr>
            <w:tcW w:w="978" w:type="dxa"/>
            <w:tcBorders>
              <w:top w:val="single" w:sz="4" w:space="0" w:color="auto"/>
              <w:left w:val="single" w:sz="4" w:space="0" w:color="auto"/>
              <w:bottom w:val="single" w:sz="4" w:space="0" w:color="auto"/>
              <w:right w:val="single" w:sz="4" w:space="0" w:color="auto"/>
            </w:tcBorders>
            <w:vAlign w:val="center"/>
            <w:hideMark/>
          </w:tcPr>
          <w:p w14:paraId="3D518E8C"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Alzheimer</w:t>
            </w:r>
            <w:r>
              <w:rPr>
                <w:rFonts w:ascii="Times New Roman"/>
                <w:sz w:val="16"/>
                <w:szCs w:val="16"/>
              </w:rPr>
              <w:t>’</w:t>
            </w:r>
            <w:r>
              <w:rPr>
                <w:rFonts w:ascii="Times New Roman"/>
                <w:sz w:val="16"/>
                <w:szCs w:val="16"/>
              </w:rPr>
              <w:t>s</w:t>
            </w:r>
          </w:p>
          <w:p w14:paraId="7CD66AEC"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roofErr w:type="gramStart"/>
            <w:r>
              <w:rPr>
                <w:rFonts w:ascii="Times New Roman"/>
                <w:sz w:val="16"/>
                <w:szCs w:val="16"/>
              </w:rPr>
              <w:t>n</w:t>
            </w:r>
            <w:proofErr w:type="gramEnd"/>
          </w:p>
        </w:tc>
        <w:tc>
          <w:tcPr>
            <w:tcW w:w="675" w:type="dxa"/>
            <w:tcBorders>
              <w:top w:val="single" w:sz="4" w:space="0" w:color="auto"/>
              <w:left w:val="single" w:sz="4" w:space="0" w:color="auto"/>
              <w:bottom w:val="single" w:sz="4" w:space="0" w:color="auto"/>
              <w:right w:val="single" w:sz="4" w:space="0" w:color="auto"/>
            </w:tcBorders>
            <w:vAlign w:val="center"/>
            <w:hideMark/>
          </w:tcPr>
          <w:p w14:paraId="48D0D4B2"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CAD</w:t>
            </w:r>
          </w:p>
          <w:p w14:paraId="0E7C9F56"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roofErr w:type="gramStart"/>
            <w:r>
              <w:rPr>
                <w:rFonts w:ascii="Times New Roman"/>
                <w:sz w:val="16"/>
                <w:szCs w:val="16"/>
              </w:rPr>
              <w:t>n</w:t>
            </w:r>
            <w:proofErr w:type="gramEnd"/>
          </w:p>
        </w:tc>
        <w:tc>
          <w:tcPr>
            <w:tcW w:w="752" w:type="dxa"/>
            <w:tcBorders>
              <w:top w:val="single" w:sz="4" w:space="0" w:color="auto"/>
              <w:left w:val="single" w:sz="4" w:space="0" w:color="auto"/>
              <w:bottom w:val="single" w:sz="4" w:space="0" w:color="auto"/>
              <w:right w:val="single" w:sz="4" w:space="0" w:color="auto"/>
            </w:tcBorders>
            <w:vAlign w:val="center"/>
            <w:hideMark/>
          </w:tcPr>
          <w:p w14:paraId="5DF96495"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CVO</w:t>
            </w:r>
          </w:p>
          <w:p w14:paraId="439486C3"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roofErr w:type="gramStart"/>
            <w:r>
              <w:rPr>
                <w:rFonts w:ascii="Times New Roman"/>
                <w:sz w:val="16"/>
                <w:szCs w:val="16"/>
              </w:rPr>
              <w:t>n</w:t>
            </w:r>
            <w:proofErr w:type="gramEnd"/>
          </w:p>
        </w:tc>
        <w:tc>
          <w:tcPr>
            <w:tcW w:w="1101" w:type="dxa"/>
            <w:tcBorders>
              <w:top w:val="single" w:sz="4" w:space="0" w:color="auto"/>
              <w:left w:val="single" w:sz="4" w:space="0" w:color="auto"/>
              <w:bottom w:val="single" w:sz="4" w:space="0" w:color="auto"/>
              <w:right w:val="single" w:sz="4" w:space="0" w:color="auto"/>
            </w:tcBorders>
            <w:vAlign w:val="center"/>
            <w:hideMark/>
          </w:tcPr>
          <w:p w14:paraId="3402D07D"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Arterial Hypertension</w:t>
            </w:r>
          </w:p>
          <w:p w14:paraId="6B052998"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roofErr w:type="gramStart"/>
            <w:r>
              <w:rPr>
                <w:rFonts w:ascii="Times New Roman"/>
                <w:sz w:val="16"/>
                <w:szCs w:val="16"/>
              </w:rPr>
              <w:t>n</w:t>
            </w:r>
            <w:proofErr w:type="gramEnd"/>
          </w:p>
        </w:tc>
        <w:tc>
          <w:tcPr>
            <w:tcW w:w="793" w:type="dxa"/>
            <w:tcBorders>
              <w:top w:val="single" w:sz="4" w:space="0" w:color="auto"/>
              <w:left w:val="single" w:sz="4" w:space="0" w:color="auto"/>
              <w:bottom w:val="single" w:sz="4" w:space="0" w:color="auto"/>
              <w:right w:val="single" w:sz="4" w:space="0" w:color="auto"/>
            </w:tcBorders>
            <w:vAlign w:val="center"/>
            <w:hideMark/>
          </w:tcPr>
          <w:p w14:paraId="4019926C"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COAD</w:t>
            </w:r>
          </w:p>
          <w:p w14:paraId="301309C9"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roofErr w:type="gramStart"/>
            <w:r>
              <w:rPr>
                <w:rFonts w:ascii="Times New Roman"/>
                <w:sz w:val="16"/>
                <w:szCs w:val="16"/>
              </w:rPr>
              <w:t>n</w:t>
            </w:r>
            <w:proofErr w:type="gramEnd"/>
          </w:p>
        </w:tc>
        <w:tc>
          <w:tcPr>
            <w:tcW w:w="793" w:type="dxa"/>
            <w:tcBorders>
              <w:top w:val="single" w:sz="4" w:space="0" w:color="auto"/>
              <w:left w:val="single" w:sz="4" w:space="0" w:color="auto"/>
              <w:bottom w:val="single" w:sz="4" w:space="0" w:color="auto"/>
              <w:right w:val="single" w:sz="4" w:space="0" w:color="auto"/>
            </w:tcBorders>
            <w:vAlign w:val="center"/>
            <w:hideMark/>
          </w:tcPr>
          <w:p w14:paraId="656B219C"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Cancer</w:t>
            </w:r>
          </w:p>
          <w:p w14:paraId="59F54359"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roofErr w:type="gramStart"/>
            <w:r>
              <w:rPr>
                <w:rFonts w:ascii="Times New Roman"/>
                <w:sz w:val="16"/>
                <w:szCs w:val="16"/>
              </w:rPr>
              <w:t>n</w:t>
            </w:r>
            <w:proofErr w:type="gramEnd"/>
          </w:p>
        </w:tc>
        <w:tc>
          <w:tcPr>
            <w:tcW w:w="701" w:type="dxa"/>
            <w:tcBorders>
              <w:top w:val="single" w:sz="4" w:space="0" w:color="auto"/>
              <w:left w:val="single" w:sz="4" w:space="0" w:color="auto"/>
              <w:bottom w:val="single" w:sz="4" w:space="0" w:color="auto"/>
              <w:right w:val="single" w:sz="4" w:space="0" w:color="auto"/>
            </w:tcBorders>
            <w:vAlign w:val="center"/>
          </w:tcPr>
          <w:p w14:paraId="312599D4" w14:textId="77777777" w:rsidR="00961BE6" w:rsidRDefault="00961BE6">
            <w:pPr>
              <w:adjustRightInd w:val="0"/>
              <w:ind w:left="60" w:right="60"/>
              <w:jc w:val="center"/>
              <w:rPr>
                <w:rFonts w:ascii="Times New Roman" w:eastAsia="Batang" w:hAnsi="Times New Roman"/>
                <w:kern w:val="2"/>
                <w:sz w:val="16"/>
                <w:szCs w:val="16"/>
                <w:lang w:val="en-US" w:eastAsia="ko-KR"/>
              </w:rPr>
            </w:pPr>
          </w:p>
          <w:p w14:paraId="0A8B3475"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tl/>
              </w:rPr>
              <w:t>٭</w:t>
            </w:r>
            <w:r>
              <w:rPr>
                <w:rFonts w:ascii="Times New Roman"/>
                <w:sz w:val="16"/>
                <w:szCs w:val="16"/>
              </w:rPr>
              <w:t>p</w:t>
            </w:r>
          </w:p>
        </w:tc>
      </w:tr>
      <w:tr w:rsidR="00961BE6" w14:paraId="3B734297" w14:textId="77777777" w:rsidTr="00961BE6">
        <w:trPr>
          <w:trHeight w:val="522"/>
        </w:trPr>
        <w:tc>
          <w:tcPr>
            <w:tcW w:w="248" w:type="dxa"/>
            <w:tcBorders>
              <w:top w:val="single" w:sz="4" w:space="0" w:color="auto"/>
              <w:left w:val="single" w:sz="4" w:space="0" w:color="auto"/>
              <w:bottom w:val="single" w:sz="4" w:space="0" w:color="auto"/>
              <w:right w:val="nil"/>
            </w:tcBorders>
            <w:vAlign w:val="center"/>
          </w:tcPr>
          <w:p w14:paraId="4C0141F3"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1415" w:type="dxa"/>
            <w:tcBorders>
              <w:top w:val="single" w:sz="4" w:space="0" w:color="auto"/>
              <w:left w:val="nil"/>
              <w:bottom w:val="single" w:sz="4" w:space="0" w:color="auto"/>
              <w:right w:val="single" w:sz="4" w:space="0" w:color="auto"/>
            </w:tcBorders>
            <w:vAlign w:val="center"/>
            <w:hideMark/>
          </w:tcPr>
          <w:p w14:paraId="674BD87F"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Anemia %</w:t>
            </w:r>
          </w:p>
        </w:tc>
        <w:tc>
          <w:tcPr>
            <w:tcW w:w="752" w:type="dxa"/>
            <w:tcBorders>
              <w:top w:val="single" w:sz="4" w:space="0" w:color="auto"/>
              <w:left w:val="single" w:sz="4" w:space="0" w:color="auto"/>
              <w:bottom w:val="single" w:sz="4" w:space="0" w:color="auto"/>
              <w:right w:val="single" w:sz="4" w:space="0" w:color="auto"/>
            </w:tcBorders>
            <w:vAlign w:val="center"/>
            <w:hideMark/>
          </w:tcPr>
          <w:p w14:paraId="63BD7C71"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69</w:t>
            </w:r>
          </w:p>
          <w:p w14:paraId="775BE200"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35,8%</w:t>
            </w:r>
          </w:p>
        </w:tc>
        <w:tc>
          <w:tcPr>
            <w:tcW w:w="752" w:type="dxa"/>
            <w:tcBorders>
              <w:top w:val="single" w:sz="4" w:space="0" w:color="auto"/>
              <w:left w:val="single" w:sz="4" w:space="0" w:color="auto"/>
              <w:bottom w:val="single" w:sz="4" w:space="0" w:color="auto"/>
              <w:right w:val="single" w:sz="4" w:space="0" w:color="auto"/>
            </w:tcBorders>
            <w:vAlign w:val="center"/>
            <w:hideMark/>
          </w:tcPr>
          <w:p w14:paraId="1AFA09DF"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24</w:t>
            </w:r>
          </w:p>
          <w:p w14:paraId="05596AD6"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12,4%</w:t>
            </w:r>
          </w:p>
        </w:tc>
        <w:tc>
          <w:tcPr>
            <w:tcW w:w="845" w:type="dxa"/>
            <w:tcBorders>
              <w:top w:val="single" w:sz="4" w:space="0" w:color="auto"/>
              <w:left w:val="single" w:sz="4" w:space="0" w:color="auto"/>
              <w:bottom w:val="single" w:sz="4" w:space="0" w:color="auto"/>
              <w:right w:val="single" w:sz="4" w:space="0" w:color="auto"/>
            </w:tcBorders>
            <w:vAlign w:val="center"/>
            <w:hideMark/>
          </w:tcPr>
          <w:p w14:paraId="52643768"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24</w:t>
            </w:r>
          </w:p>
          <w:p w14:paraId="69AE7C4D"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12,4%</w:t>
            </w:r>
          </w:p>
        </w:tc>
        <w:tc>
          <w:tcPr>
            <w:tcW w:w="978" w:type="dxa"/>
            <w:tcBorders>
              <w:top w:val="single" w:sz="4" w:space="0" w:color="auto"/>
              <w:left w:val="single" w:sz="4" w:space="0" w:color="auto"/>
              <w:bottom w:val="single" w:sz="4" w:space="0" w:color="auto"/>
              <w:right w:val="single" w:sz="4" w:space="0" w:color="auto"/>
            </w:tcBorders>
            <w:vAlign w:val="center"/>
            <w:hideMark/>
          </w:tcPr>
          <w:p w14:paraId="65E388E9"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14</w:t>
            </w:r>
          </w:p>
          <w:p w14:paraId="650844E9"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7,3%</w:t>
            </w:r>
          </w:p>
        </w:tc>
        <w:tc>
          <w:tcPr>
            <w:tcW w:w="675" w:type="dxa"/>
            <w:tcBorders>
              <w:top w:val="single" w:sz="4" w:space="0" w:color="auto"/>
              <w:left w:val="single" w:sz="4" w:space="0" w:color="auto"/>
              <w:bottom w:val="single" w:sz="4" w:space="0" w:color="auto"/>
              <w:right w:val="single" w:sz="4" w:space="0" w:color="auto"/>
            </w:tcBorders>
            <w:vAlign w:val="center"/>
            <w:hideMark/>
          </w:tcPr>
          <w:p w14:paraId="09487890"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7</w:t>
            </w:r>
          </w:p>
          <w:p w14:paraId="3C45DE97"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3,6%</w:t>
            </w:r>
          </w:p>
        </w:tc>
        <w:tc>
          <w:tcPr>
            <w:tcW w:w="752" w:type="dxa"/>
            <w:tcBorders>
              <w:top w:val="single" w:sz="4" w:space="0" w:color="auto"/>
              <w:left w:val="single" w:sz="4" w:space="0" w:color="auto"/>
              <w:bottom w:val="single" w:sz="4" w:space="0" w:color="auto"/>
              <w:right w:val="single" w:sz="4" w:space="0" w:color="auto"/>
            </w:tcBorders>
            <w:vAlign w:val="center"/>
            <w:hideMark/>
          </w:tcPr>
          <w:p w14:paraId="5F791C1F"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2</w:t>
            </w:r>
          </w:p>
          <w:p w14:paraId="4438C63A"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1,0%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119674D"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44</w:t>
            </w:r>
          </w:p>
          <w:p w14:paraId="569CD2B5"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22,8%</w:t>
            </w:r>
          </w:p>
        </w:tc>
        <w:tc>
          <w:tcPr>
            <w:tcW w:w="793" w:type="dxa"/>
            <w:tcBorders>
              <w:top w:val="single" w:sz="4" w:space="0" w:color="auto"/>
              <w:left w:val="single" w:sz="4" w:space="0" w:color="auto"/>
              <w:bottom w:val="single" w:sz="4" w:space="0" w:color="auto"/>
              <w:right w:val="single" w:sz="4" w:space="0" w:color="auto"/>
            </w:tcBorders>
            <w:vAlign w:val="center"/>
            <w:hideMark/>
          </w:tcPr>
          <w:p w14:paraId="594C4C82"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4</w:t>
            </w:r>
          </w:p>
          <w:p w14:paraId="5F200080"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2,1%</w:t>
            </w:r>
          </w:p>
        </w:tc>
        <w:tc>
          <w:tcPr>
            <w:tcW w:w="793" w:type="dxa"/>
            <w:tcBorders>
              <w:top w:val="single" w:sz="4" w:space="0" w:color="auto"/>
              <w:left w:val="single" w:sz="4" w:space="0" w:color="auto"/>
              <w:bottom w:val="single" w:sz="4" w:space="0" w:color="auto"/>
              <w:right w:val="single" w:sz="4" w:space="0" w:color="auto"/>
            </w:tcBorders>
            <w:vAlign w:val="center"/>
            <w:hideMark/>
          </w:tcPr>
          <w:p w14:paraId="69C01034"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5</w:t>
            </w:r>
          </w:p>
          <w:p w14:paraId="083A95B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2,6%</w:t>
            </w:r>
          </w:p>
        </w:tc>
        <w:tc>
          <w:tcPr>
            <w:tcW w:w="701" w:type="dxa"/>
            <w:tcBorders>
              <w:top w:val="single" w:sz="4" w:space="0" w:color="auto"/>
              <w:left w:val="single" w:sz="4" w:space="0" w:color="auto"/>
              <w:bottom w:val="single" w:sz="4" w:space="0" w:color="auto"/>
              <w:right w:val="single" w:sz="4" w:space="0" w:color="auto"/>
            </w:tcBorders>
            <w:vAlign w:val="center"/>
            <w:hideMark/>
          </w:tcPr>
          <w:p w14:paraId="4A8DC2B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0.01</w:t>
            </w:r>
          </w:p>
        </w:tc>
      </w:tr>
      <w:tr w:rsidR="00961BE6" w14:paraId="74786A28" w14:textId="77777777" w:rsidTr="00961BE6">
        <w:trPr>
          <w:trHeight w:val="344"/>
        </w:trPr>
        <w:tc>
          <w:tcPr>
            <w:tcW w:w="248" w:type="dxa"/>
            <w:tcBorders>
              <w:top w:val="single" w:sz="4" w:space="0" w:color="auto"/>
              <w:left w:val="single" w:sz="4" w:space="0" w:color="auto"/>
              <w:bottom w:val="single" w:sz="4" w:space="0" w:color="auto"/>
              <w:right w:val="nil"/>
            </w:tcBorders>
            <w:vAlign w:val="center"/>
          </w:tcPr>
          <w:p w14:paraId="4FCE7478" w14:textId="77777777" w:rsidR="00961BE6" w:rsidRDefault="00961BE6">
            <w:pPr>
              <w:widowControl w:val="0"/>
              <w:wordWrap w:val="0"/>
              <w:autoSpaceDE w:val="0"/>
              <w:autoSpaceDN w:val="0"/>
              <w:adjustRightInd w:val="0"/>
              <w:jc w:val="center"/>
              <w:rPr>
                <w:rFonts w:ascii="Times New Roman" w:eastAsia="Batang" w:hAnsi="Times New Roman"/>
                <w:kern w:val="2"/>
                <w:sz w:val="16"/>
                <w:szCs w:val="16"/>
                <w:lang w:val="en-US" w:eastAsia="ko-KR"/>
              </w:rPr>
            </w:pPr>
          </w:p>
        </w:tc>
        <w:tc>
          <w:tcPr>
            <w:tcW w:w="1415" w:type="dxa"/>
            <w:tcBorders>
              <w:top w:val="single" w:sz="4" w:space="0" w:color="auto"/>
              <w:left w:val="nil"/>
              <w:bottom w:val="single" w:sz="4" w:space="0" w:color="auto"/>
              <w:right w:val="single" w:sz="4" w:space="0" w:color="auto"/>
            </w:tcBorders>
            <w:vAlign w:val="center"/>
            <w:hideMark/>
          </w:tcPr>
          <w:p w14:paraId="3E5702B9"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hyperglisemia%</w:t>
            </w:r>
          </w:p>
        </w:tc>
        <w:tc>
          <w:tcPr>
            <w:tcW w:w="752" w:type="dxa"/>
            <w:tcBorders>
              <w:top w:val="single" w:sz="4" w:space="0" w:color="auto"/>
              <w:left w:val="single" w:sz="4" w:space="0" w:color="auto"/>
              <w:bottom w:val="single" w:sz="4" w:space="0" w:color="auto"/>
              <w:right w:val="single" w:sz="4" w:space="0" w:color="auto"/>
            </w:tcBorders>
            <w:vAlign w:val="center"/>
            <w:hideMark/>
          </w:tcPr>
          <w:p w14:paraId="2B1058F6"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2</w:t>
            </w:r>
          </w:p>
          <w:p w14:paraId="2D31A278"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2,4%</w:t>
            </w:r>
          </w:p>
        </w:tc>
        <w:tc>
          <w:tcPr>
            <w:tcW w:w="752" w:type="dxa"/>
            <w:tcBorders>
              <w:top w:val="single" w:sz="4" w:space="0" w:color="auto"/>
              <w:left w:val="single" w:sz="4" w:space="0" w:color="auto"/>
              <w:bottom w:val="single" w:sz="4" w:space="0" w:color="auto"/>
              <w:right w:val="single" w:sz="4" w:space="0" w:color="auto"/>
            </w:tcBorders>
            <w:vAlign w:val="center"/>
            <w:hideMark/>
          </w:tcPr>
          <w:p w14:paraId="6432ABE9"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w:t>
            </w:r>
          </w:p>
          <w:p w14:paraId="06F9ED1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1,2%</w:t>
            </w:r>
          </w:p>
        </w:tc>
        <w:tc>
          <w:tcPr>
            <w:tcW w:w="845" w:type="dxa"/>
            <w:tcBorders>
              <w:top w:val="single" w:sz="4" w:space="0" w:color="auto"/>
              <w:left w:val="single" w:sz="4" w:space="0" w:color="auto"/>
              <w:bottom w:val="single" w:sz="4" w:space="0" w:color="auto"/>
              <w:right w:val="single" w:sz="4" w:space="0" w:color="auto"/>
            </w:tcBorders>
            <w:vAlign w:val="center"/>
            <w:hideMark/>
          </w:tcPr>
          <w:p w14:paraId="3D08CD2A"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78</w:t>
            </w:r>
          </w:p>
          <w:p w14:paraId="15B3A73E"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92,9%</w:t>
            </w:r>
          </w:p>
        </w:tc>
        <w:tc>
          <w:tcPr>
            <w:tcW w:w="978" w:type="dxa"/>
            <w:tcBorders>
              <w:top w:val="single" w:sz="4" w:space="0" w:color="auto"/>
              <w:left w:val="single" w:sz="4" w:space="0" w:color="auto"/>
              <w:bottom w:val="single" w:sz="4" w:space="0" w:color="auto"/>
              <w:right w:val="single" w:sz="4" w:space="0" w:color="auto"/>
            </w:tcBorders>
            <w:vAlign w:val="center"/>
          </w:tcPr>
          <w:p w14:paraId="2823A6FA"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7AC99A29"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675" w:type="dxa"/>
            <w:tcBorders>
              <w:top w:val="single" w:sz="4" w:space="0" w:color="auto"/>
              <w:left w:val="single" w:sz="4" w:space="0" w:color="auto"/>
              <w:bottom w:val="single" w:sz="4" w:space="0" w:color="auto"/>
              <w:right w:val="single" w:sz="4" w:space="0" w:color="auto"/>
            </w:tcBorders>
            <w:vAlign w:val="center"/>
          </w:tcPr>
          <w:p w14:paraId="232C12D4"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6CDB131F"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52" w:type="dxa"/>
            <w:tcBorders>
              <w:top w:val="single" w:sz="4" w:space="0" w:color="auto"/>
              <w:left w:val="single" w:sz="4" w:space="0" w:color="auto"/>
              <w:bottom w:val="single" w:sz="4" w:space="0" w:color="auto"/>
              <w:right w:val="single" w:sz="4" w:space="0" w:color="auto"/>
            </w:tcBorders>
            <w:vAlign w:val="center"/>
          </w:tcPr>
          <w:p w14:paraId="2B7990BD"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71B25B87"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626E4513"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3</w:t>
            </w:r>
          </w:p>
          <w:p w14:paraId="3B5CCD7C"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3,6%</w:t>
            </w:r>
          </w:p>
        </w:tc>
        <w:tc>
          <w:tcPr>
            <w:tcW w:w="793" w:type="dxa"/>
            <w:tcBorders>
              <w:top w:val="single" w:sz="4" w:space="0" w:color="auto"/>
              <w:left w:val="single" w:sz="4" w:space="0" w:color="auto"/>
              <w:bottom w:val="single" w:sz="4" w:space="0" w:color="auto"/>
              <w:right w:val="single" w:sz="4" w:space="0" w:color="auto"/>
            </w:tcBorders>
            <w:vAlign w:val="center"/>
          </w:tcPr>
          <w:p w14:paraId="7243D0E1"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2EB148D7"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93" w:type="dxa"/>
            <w:tcBorders>
              <w:top w:val="single" w:sz="4" w:space="0" w:color="auto"/>
              <w:left w:val="single" w:sz="4" w:space="0" w:color="auto"/>
              <w:bottom w:val="single" w:sz="4" w:space="0" w:color="auto"/>
              <w:right w:val="single" w:sz="4" w:space="0" w:color="auto"/>
            </w:tcBorders>
            <w:vAlign w:val="center"/>
          </w:tcPr>
          <w:p w14:paraId="624438BE"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6E41CCA7"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01" w:type="dxa"/>
            <w:tcBorders>
              <w:top w:val="single" w:sz="4" w:space="0" w:color="auto"/>
              <w:left w:val="single" w:sz="4" w:space="0" w:color="auto"/>
              <w:bottom w:val="single" w:sz="4" w:space="0" w:color="auto"/>
              <w:right w:val="single" w:sz="4" w:space="0" w:color="auto"/>
            </w:tcBorders>
            <w:vAlign w:val="center"/>
            <w:hideMark/>
          </w:tcPr>
          <w:p w14:paraId="6D5517A1"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0.506</w:t>
            </w:r>
          </w:p>
        </w:tc>
      </w:tr>
      <w:tr w:rsidR="00961BE6" w14:paraId="5E515C11" w14:textId="77777777" w:rsidTr="00961BE6">
        <w:trPr>
          <w:trHeight w:val="522"/>
        </w:trPr>
        <w:tc>
          <w:tcPr>
            <w:tcW w:w="248" w:type="dxa"/>
            <w:tcBorders>
              <w:top w:val="single" w:sz="4" w:space="0" w:color="auto"/>
              <w:left w:val="single" w:sz="4" w:space="0" w:color="auto"/>
              <w:bottom w:val="single" w:sz="4" w:space="0" w:color="auto"/>
              <w:right w:val="nil"/>
            </w:tcBorders>
            <w:vAlign w:val="center"/>
          </w:tcPr>
          <w:p w14:paraId="4A8D654F" w14:textId="77777777" w:rsidR="00961BE6" w:rsidRDefault="00961BE6">
            <w:pPr>
              <w:widowControl w:val="0"/>
              <w:wordWrap w:val="0"/>
              <w:autoSpaceDE w:val="0"/>
              <w:autoSpaceDN w:val="0"/>
              <w:adjustRightInd w:val="0"/>
              <w:jc w:val="center"/>
              <w:rPr>
                <w:rFonts w:ascii="Times New Roman" w:eastAsia="Batang" w:hAnsi="Times New Roman"/>
                <w:kern w:val="2"/>
                <w:sz w:val="16"/>
                <w:szCs w:val="16"/>
                <w:lang w:val="en-US" w:eastAsia="ko-KR"/>
              </w:rPr>
            </w:pPr>
          </w:p>
        </w:tc>
        <w:tc>
          <w:tcPr>
            <w:tcW w:w="1415" w:type="dxa"/>
            <w:tcBorders>
              <w:top w:val="single" w:sz="4" w:space="0" w:color="auto"/>
              <w:left w:val="nil"/>
              <w:bottom w:val="single" w:sz="4" w:space="0" w:color="auto"/>
              <w:right w:val="single" w:sz="4" w:space="0" w:color="auto"/>
            </w:tcBorders>
            <w:vAlign w:val="center"/>
            <w:hideMark/>
          </w:tcPr>
          <w:p w14:paraId="2D746D61"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pn</w:t>
            </w:r>
            <w:r>
              <w:rPr>
                <w:rFonts w:ascii="Times New Roman"/>
                <w:sz w:val="16"/>
                <w:szCs w:val="16"/>
              </w:rPr>
              <w:t>ö</w:t>
            </w:r>
            <w:r>
              <w:rPr>
                <w:rFonts w:ascii="Times New Roman"/>
                <w:sz w:val="16"/>
                <w:szCs w:val="16"/>
              </w:rPr>
              <w:t>monia%</w:t>
            </w:r>
          </w:p>
        </w:tc>
        <w:tc>
          <w:tcPr>
            <w:tcW w:w="752" w:type="dxa"/>
            <w:tcBorders>
              <w:top w:val="single" w:sz="4" w:space="0" w:color="auto"/>
              <w:left w:val="single" w:sz="4" w:space="0" w:color="auto"/>
              <w:bottom w:val="single" w:sz="4" w:space="0" w:color="auto"/>
              <w:right w:val="single" w:sz="4" w:space="0" w:color="auto"/>
            </w:tcBorders>
            <w:vAlign w:val="center"/>
            <w:hideMark/>
          </w:tcPr>
          <w:p w14:paraId="6694E85E"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6</w:t>
            </w:r>
          </w:p>
          <w:p w14:paraId="79A35EF2"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31,6%</w:t>
            </w:r>
          </w:p>
        </w:tc>
        <w:tc>
          <w:tcPr>
            <w:tcW w:w="752" w:type="dxa"/>
            <w:tcBorders>
              <w:top w:val="single" w:sz="4" w:space="0" w:color="auto"/>
              <w:left w:val="single" w:sz="4" w:space="0" w:color="auto"/>
              <w:bottom w:val="single" w:sz="4" w:space="0" w:color="auto"/>
              <w:right w:val="single" w:sz="4" w:space="0" w:color="auto"/>
            </w:tcBorders>
            <w:vAlign w:val="center"/>
          </w:tcPr>
          <w:p w14:paraId="0B7E7356"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0D1B62AB"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6EA4E4FA"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7</w:t>
            </w:r>
          </w:p>
          <w:p w14:paraId="46F14720"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36,8%</w:t>
            </w:r>
          </w:p>
        </w:tc>
        <w:tc>
          <w:tcPr>
            <w:tcW w:w="978" w:type="dxa"/>
            <w:tcBorders>
              <w:top w:val="single" w:sz="4" w:space="0" w:color="auto"/>
              <w:left w:val="single" w:sz="4" w:space="0" w:color="auto"/>
              <w:bottom w:val="single" w:sz="4" w:space="0" w:color="auto"/>
              <w:right w:val="single" w:sz="4" w:space="0" w:color="auto"/>
            </w:tcBorders>
            <w:vAlign w:val="center"/>
          </w:tcPr>
          <w:p w14:paraId="31427DA7"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5EDB402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675" w:type="dxa"/>
            <w:tcBorders>
              <w:top w:val="single" w:sz="4" w:space="0" w:color="auto"/>
              <w:left w:val="single" w:sz="4" w:space="0" w:color="auto"/>
              <w:bottom w:val="single" w:sz="4" w:space="0" w:color="auto"/>
              <w:right w:val="single" w:sz="4" w:space="0" w:color="auto"/>
            </w:tcBorders>
            <w:vAlign w:val="center"/>
          </w:tcPr>
          <w:p w14:paraId="1C388211"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3EE2899D"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52" w:type="dxa"/>
            <w:tcBorders>
              <w:top w:val="single" w:sz="4" w:space="0" w:color="auto"/>
              <w:left w:val="single" w:sz="4" w:space="0" w:color="auto"/>
              <w:bottom w:val="single" w:sz="4" w:space="0" w:color="auto"/>
              <w:right w:val="single" w:sz="4" w:space="0" w:color="auto"/>
            </w:tcBorders>
            <w:vAlign w:val="center"/>
          </w:tcPr>
          <w:p w14:paraId="13C611CC"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30A576B5"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56C7CF0D"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5</w:t>
            </w:r>
          </w:p>
          <w:p w14:paraId="4A5F02A2"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26,3%</w:t>
            </w:r>
          </w:p>
        </w:tc>
        <w:tc>
          <w:tcPr>
            <w:tcW w:w="793" w:type="dxa"/>
            <w:tcBorders>
              <w:top w:val="single" w:sz="4" w:space="0" w:color="auto"/>
              <w:left w:val="single" w:sz="4" w:space="0" w:color="auto"/>
              <w:bottom w:val="single" w:sz="4" w:space="0" w:color="auto"/>
              <w:right w:val="single" w:sz="4" w:space="0" w:color="auto"/>
            </w:tcBorders>
            <w:vAlign w:val="center"/>
            <w:hideMark/>
          </w:tcPr>
          <w:p w14:paraId="39F4E3AF"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w:t>
            </w:r>
          </w:p>
          <w:p w14:paraId="02CF7A75"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5,3%</w:t>
            </w:r>
          </w:p>
        </w:tc>
        <w:tc>
          <w:tcPr>
            <w:tcW w:w="793" w:type="dxa"/>
            <w:tcBorders>
              <w:top w:val="single" w:sz="4" w:space="0" w:color="auto"/>
              <w:left w:val="single" w:sz="4" w:space="0" w:color="auto"/>
              <w:bottom w:val="single" w:sz="4" w:space="0" w:color="auto"/>
              <w:right w:val="single" w:sz="4" w:space="0" w:color="auto"/>
            </w:tcBorders>
            <w:vAlign w:val="center"/>
          </w:tcPr>
          <w:p w14:paraId="6C9991B9"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5A78616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01" w:type="dxa"/>
            <w:tcBorders>
              <w:top w:val="single" w:sz="4" w:space="0" w:color="auto"/>
              <w:left w:val="single" w:sz="4" w:space="0" w:color="auto"/>
              <w:bottom w:val="single" w:sz="4" w:space="0" w:color="auto"/>
              <w:right w:val="single" w:sz="4" w:space="0" w:color="auto"/>
            </w:tcBorders>
            <w:vAlign w:val="center"/>
            <w:hideMark/>
          </w:tcPr>
          <w:p w14:paraId="573D1B68"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0.545</w:t>
            </w:r>
          </w:p>
        </w:tc>
      </w:tr>
      <w:tr w:rsidR="00961BE6" w14:paraId="0FF82095" w14:textId="77777777" w:rsidTr="00961BE6">
        <w:trPr>
          <w:trHeight w:val="522"/>
        </w:trPr>
        <w:tc>
          <w:tcPr>
            <w:tcW w:w="248" w:type="dxa"/>
            <w:tcBorders>
              <w:top w:val="single" w:sz="4" w:space="0" w:color="auto"/>
              <w:left w:val="single" w:sz="4" w:space="0" w:color="auto"/>
              <w:bottom w:val="single" w:sz="4" w:space="0" w:color="auto"/>
              <w:right w:val="nil"/>
            </w:tcBorders>
            <w:vAlign w:val="center"/>
          </w:tcPr>
          <w:p w14:paraId="7245D89B" w14:textId="77777777" w:rsidR="00961BE6" w:rsidRDefault="00961BE6">
            <w:pPr>
              <w:widowControl w:val="0"/>
              <w:wordWrap w:val="0"/>
              <w:autoSpaceDE w:val="0"/>
              <w:autoSpaceDN w:val="0"/>
              <w:adjustRightInd w:val="0"/>
              <w:jc w:val="center"/>
              <w:rPr>
                <w:rFonts w:ascii="Times New Roman" w:eastAsia="Batang" w:hAnsi="Times New Roman"/>
                <w:kern w:val="2"/>
                <w:sz w:val="16"/>
                <w:szCs w:val="16"/>
                <w:lang w:val="en-US" w:eastAsia="ko-KR"/>
              </w:rPr>
            </w:pPr>
          </w:p>
        </w:tc>
        <w:tc>
          <w:tcPr>
            <w:tcW w:w="1415" w:type="dxa"/>
            <w:tcBorders>
              <w:top w:val="single" w:sz="4" w:space="0" w:color="auto"/>
              <w:left w:val="nil"/>
              <w:bottom w:val="single" w:sz="4" w:space="0" w:color="auto"/>
              <w:right w:val="single" w:sz="4" w:space="0" w:color="auto"/>
            </w:tcBorders>
            <w:vAlign w:val="center"/>
            <w:hideMark/>
          </w:tcPr>
          <w:p w14:paraId="7C93A9BE"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Ü</w:t>
            </w:r>
            <w:r>
              <w:rPr>
                <w:rFonts w:ascii="Times New Roman"/>
                <w:sz w:val="16"/>
                <w:szCs w:val="16"/>
              </w:rPr>
              <w:t>riner Enfection %</w:t>
            </w:r>
          </w:p>
        </w:tc>
        <w:tc>
          <w:tcPr>
            <w:tcW w:w="752" w:type="dxa"/>
            <w:tcBorders>
              <w:top w:val="single" w:sz="4" w:space="0" w:color="auto"/>
              <w:left w:val="single" w:sz="4" w:space="0" w:color="auto"/>
              <w:bottom w:val="single" w:sz="4" w:space="0" w:color="auto"/>
              <w:right w:val="single" w:sz="4" w:space="0" w:color="auto"/>
            </w:tcBorders>
            <w:vAlign w:val="center"/>
            <w:hideMark/>
          </w:tcPr>
          <w:p w14:paraId="47E3CC65"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18</w:t>
            </w:r>
          </w:p>
          <w:p w14:paraId="0925079A"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38,3%</w:t>
            </w:r>
          </w:p>
        </w:tc>
        <w:tc>
          <w:tcPr>
            <w:tcW w:w="752" w:type="dxa"/>
            <w:tcBorders>
              <w:top w:val="single" w:sz="4" w:space="0" w:color="auto"/>
              <w:left w:val="single" w:sz="4" w:space="0" w:color="auto"/>
              <w:bottom w:val="single" w:sz="4" w:space="0" w:color="auto"/>
              <w:right w:val="single" w:sz="4" w:space="0" w:color="auto"/>
            </w:tcBorders>
            <w:vAlign w:val="center"/>
          </w:tcPr>
          <w:p w14:paraId="6CA1484E"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025FBC5F"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2DCA2882"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4</w:t>
            </w:r>
          </w:p>
          <w:p w14:paraId="3F80CC36"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8,5%</w:t>
            </w:r>
          </w:p>
        </w:tc>
        <w:tc>
          <w:tcPr>
            <w:tcW w:w="978" w:type="dxa"/>
            <w:tcBorders>
              <w:top w:val="single" w:sz="4" w:space="0" w:color="auto"/>
              <w:left w:val="single" w:sz="4" w:space="0" w:color="auto"/>
              <w:bottom w:val="single" w:sz="4" w:space="0" w:color="auto"/>
              <w:right w:val="single" w:sz="4" w:space="0" w:color="auto"/>
            </w:tcBorders>
            <w:vAlign w:val="center"/>
            <w:hideMark/>
          </w:tcPr>
          <w:p w14:paraId="4B26FAF3"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5</w:t>
            </w:r>
          </w:p>
          <w:p w14:paraId="3176131F"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10,6%</w:t>
            </w:r>
          </w:p>
        </w:tc>
        <w:tc>
          <w:tcPr>
            <w:tcW w:w="675" w:type="dxa"/>
            <w:tcBorders>
              <w:top w:val="single" w:sz="4" w:space="0" w:color="auto"/>
              <w:left w:val="single" w:sz="4" w:space="0" w:color="auto"/>
              <w:bottom w:val="single" w:sz="4" w:space="0" w:color="auto"/>
              <w:right w:val="single" w:sz="4" w:space="0" w:color="auto"/>
            </w:tcBorders>
            <w:vAlign w:val="center"/>
            <w:hideMark/>
          </w:tcPr>
          <w:p w14:paraId="19C853BF"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4</w:t>
            </w:r>
          </w:p>
          <w:p w14:paraId="354184CE"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8,5%</w:t>
            </w:r>
          </w:p>
        </w:tc>
        <w:tc>
          <w:tcPr>
            <w:tcW w:w="752" w:type="dxa"/>
            <w:tcBorders>
              <w:top w:val="single" w:sz="4" w:space="0" w:color="auto"/>
              <w:left w:val="single" w:sz="4" w:space="0" w:color="auto"/>
              <w:bottom w:val="single" w:sz="4" w:space="0" w:color="auto"/>
              <w:right w:val="single" w:sz="4" w:space="0" w:color="auto"/>
            </w:tcBorders>
            <w:vAlign w:val="center"/>
            <w:hideMark/>
          </w:tcPr>
          <w:p w14:paraId="2D909214"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3</w:t>
            </w:r>
          </w:p>
          <w:p w14:paraId="1E40C86F"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6,4%</w:t>
            </w:r>
          </w:p>
        </w:tc>
        <w:tc>
          <w:tcPr>
            <w:tcW w:w="1101" w:type="dxa"/>
            <w:tcBorders>
              <w:top w:val="single" w:sz="4" w:space="0" w:color="auto"/>
              <w:left w:val="single" w:sz="4" w:space="0" w:color="auto"/>
              <w:bottom w:val="single" w:sz="4" w:space="0" w:color="auto"/>
              <w:right w:val="single" w:sz="4" w:space="0" w:color="auto"/>
            </w:tcBorders>
            <w:vAlign w:val="center"/>
            <w:hideMark/>
          </w:tcPr>
          <w:p w14:paraId="36560285"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13</w:t>
            </w:r>
          </w:p>
          <w:p w14:paraId="1CAB8B00"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27,7%</w:t>
            </w:r>
          </w:p>
        </w:tc>
        <w:tc>
          <w:tcPr>
            <w:tcW w:w="793" w:type="dxa"/>
            <w:tcBorders>
              <w:top w:val="single" w:sz="4" w:space="0" w:color="auto"/>
              <w:left w:val="single" w:sz="4" w:space="0" w:color="auto"/>
              <w:bottom w:val="single" w:sz="4" w:space="0" w:color="auto"/>
              <w:right w:val="single" w:sz="4" w:space="0" w:color="auto"/>
            </w:tcBorders>
            <w:vAlign w:val="center"/>
          </w:tcPr>
          <w:p w14:paraId="7C003AF0"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2FE21561"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93" w:type="dxa"/>
            <w:tcBorders>
              <w:top w:val="single" w:sz="4" w:space="0" w:color="auto"/>
              <w:left w:val="single" w:sz="4" w:space="0" w:color="auto"/>
              <w:bottom w:val="single" w:sz="4" w:space="0" w:color="auto"/>
              <w:right w:val="single" w:sz="4" w:space="0" w:color="auto"/>
            </w:tcBorders>
            <w:vAlign w:val="center"/>
          </w:tcPr>
          <w:p w14:paraId="0F5AFE63"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30DDCEC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01" w:type="dxa"/>
            <w:tcBorders>
              <w:top w:val="single" w:sz="4" w:space="0" w:color="auto"/>
              <w:left w:val="single" w:sz="4" w:space="0" w:color="auto"/>
              <w:bottom w:val="single" w:sz="4" w:space="0" w:color="auto"/>
              <w:right w:val="single" w:sz="4" w:space="0" w:color="auto"/>
            </w:tcBorders>
            <w:vAlign w:val="center"/>
            <w:hideMark/>
          </w:tcPr>
          <w:p w14:paraId="485214E3"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0.02</w:t>
            </w:r>
          </w:p>
        </w:tc>
      </w:tr>
      <w:tr w:rsidR="00961BE6" w14:paraId="055F313D" w14:textId="77777777" w:rsidTr="00961BE6">
        <w:trPr>
          <w:trHeight w:val="522"/>
        </w:trPr>
        <w:tc>
          <w:tcPr>
            <w:tcW w:w="248" w:type="dxa"/>
            <w:tcBorders>
              <w:top w:val="single" w:sz="4" w:space="0" w:color="auto"/>
              <w:left w:val="single" w:sz="4" w:space="0" w:color="auto"/>
              <w:bottom w:val="single" w:sz="4" w:space="0" w:color="auto"/>
              <w:right w:val="nil"/>
            </w:tcBorders>
            <w:vAlign w:val="center"/>
          </w:tcPr>
          <w:p w14:paraId="3D06BEFC" w14:textId="77777777" w:rsidR="00961BE6" w:rsidRDefault="00961BE6">
            <w:pPr>
              <w:widowControl w:val="0"/>
              <w:wordWrap w:val="0"/>
              <w:autoSpaceDE w:val="0"/>
              <w:autoSpaceDN w:val="0"/>
              <w:adjustRightInd w:val="0"/>
              <w:jc w:val="center"/>
              <w:rPr>
                <w:rFonts w:ascii="Times New Roman" w:eastAsia="Batang" w:hAnsi="Times New Roman"/>
                <w:kern w:val="2"/>
                <w:sz w:val="16"/>
                <w:szCs w:val="16"/>
                <w:lang w:val="en-US" w:eastAsia="ko-KR"/>
              </w:rPr>
            </w:pPr>
          </w:p>
        </w:tc>
        <w:tc>
          <w:tcPr>
            <w:tcW w:w="1415" w:type="dxa"/>
            <w:tcBorders>
              <w:top w:val="single" w:sz="4" w:space="0" w:color="auto"/>
              <w:left w:val="nil"/>
              <w:bottom w:val="single" w:sz="4" w:space="0" w:color="auto"/>
              <w:right w:val="single" w:sz="4" w:space="0" w:color="auto"/>
            </w:tcBorders>
            <w:vAlign w:val="center"/>
            <w:hideMark/>
          </w:tcPr>
          <w:p w14:paraId="46D98EA1"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Hyponatremia %</w:t>
            </w:r>
          </w:p>
        </w:tc>
        <w:tc>
          <w:tcPr>
            <w:tcW w:w="752" w:type="dxa"/>
            <w:tcBorders>
              <w:top w:val="single" w:sz="4" w:space="0" w:color="auto"/>
              <w:left w:val="single" w:sz="4" w:space="0" w:color="auto"/>
              <w:bottom w:val="single" w:sz="4" w:space="0" w:color="auto"/>
              <w:right w:val="single" w:sz="4" w:space="0" w:color="auto"/>
            </w:tcBorders>
            <w:vAlign w:val="center"/>
            <w:hideMark/>
          </w:tcPr>
          <w:p w14:paraId="2341A276"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3</w:t>
            </w:r>
          </w:p>
          <w:p w14:paraId="280258E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9,4%</w:t>
            </w:r>
          </w:p>
        </w:tc>
        <w:tc>
          <w:tcPr>
            <w:tcW w:w="752" w:type="dxa"/>
            <w:tcBorders>
              <w:top w:val="single" w:sz="4" w:space="0" w:color="auto"/>
              <w:left w:val="single" w:sz="4" w:space="0" w:color="auto"/>
              <w:bottom w:val="single" w:sz="4" w:space="0" w:color="auto"/>
              <w:right w:val="single" w:sz="4" w:space="0" w:color="auto"/>
            </w:tcBorders>
            <w:vAlign w:val="center"/>
          </w:tcPr>
          <w:p w14:paraId="7D18FC5D"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42967E4F"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22788693"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4</w:t>
            </w:r>
          </w:p>
          <w:p w14:paraId="04CF8222"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12,5%</w:t>
            </w:r>
          </w:p>
        </w:tc>
        <w:tc>
          <w:tcPr>
            <w:tcW w:w="978" w:type="dxa"/>
            <w:tcBorders>
              <w:top w:val="single" w:sz="4" w:space="0" w:color="auto"/>
              <w:left w:val="single" w:sz="4" w:space="0" w:color="auto"/>
              <w:bottom w:val="single" w:sz="4" w:space="0" w:color="auto"/>
              <w:right w:val="single" w:sz="4" w:space="0" w:color="auto"/>
            </w:tcBorders>
            <w:vAlign w:val="center"/>
            <w:hideMark/>
          </w:tcPr>
          <w:p w14:paraId="27C005D4"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3</w:t>
            </w:r>
          </w:p>
          <w:p w14:paraId="0CAC67B1"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9,4%</w:t>
            </w:r>
          </w:p>
        </w:tc>
        <w:tc>
          <w:tcPr>
            <w:tcW w:w="675" w:type="dxa"/>
            <w:tcBorders>
              <w:top w:val="single" w:sz="4" w:space="0" w:color="auto"/>
              <w:left w:val="single" w:sz="4" w:space="0" w:color="auto"/>
              <w:bottom w:val="single" w:sz="4" w:space="0" w:color="auto"/>
              <w:right w:val="single" w:sz="4" w:space="0" w:color="auto"/>
            </w:tcBorders>
            <w:vAlign w:val="center"/>
            <w:hideMark/>
          </w:tcPr>
          <w:p w14:paraId="4D12A454"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2</w:t>
            </w:r>
          </w:p>
          <w:p w14:paraId="5F36F8BD"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6,3%</w:t>
            </w:r>
          </w:p>
        </w:tc>
        <w:tc>
          <w:tcPr>
            <w:tcW w:w="752" w:type="dxa"/>
            <w:tcBorders>
              <w:top w:val="single" w:sz="4" w:space="0" w:color="auto"/>
              <w:left w:val="single" w:sz="4" w:space="0" w:color="auto"/>
              <w:bottom w:val="single" w:sz="4" w:space="0" w:color="auto"/>
              <w:right w:val="single" w:sz="4" w:space="0" w:color="auto"/>
            </w:tcBorders>
            <w:vAlign w:val="center"/>
          </w:tcPr>
          <w:p w14:paraId="5AF15CC6"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78810A4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0973D9F4"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17</w:t>
            </w:r>
          </w:p>
          <w:p w14:paraId="3C7D13DF"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53,1%</w:t>
            </w:r>
          </w:p>
        </w:tc>
        <w:tc>
          <w:tcPr>
            <w:tcW w:w="793" w:type="dxa"/>
            <w:tcBorders>
              <w:top w:val="single" w:sz="4" w:space="0" w:color="auto"/>
              <w:left w:val="single" w:sz="4" w:space="0" w:color="auto"/>
              <w:bottom w:val="single" w:sz="4" w:space="0" w:color="auto"/>
              <w:right w:val="single" w:sz="4" w:space="0" w:color="auto"/>
            </w:tcBorders>
            <w:vAlign w:val="center"/>
            <w:hideMark/>
          </w:tcPr>
          <w:p w14:paraId="25702EA0"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w:t>
            </w:r>
          </w:p>
          <w:p w14:paraId="5BB97715"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3,1%</w:t>
            </w:r>
          </w:p>
        </w:tc>
        <w:tc>
          <w:tcPr>
            <w:tcW w:w="793" w:type="dxa"/>
            <w:tcBorders>
              <w:top w:val="single" w:sz="4" w:space="0" w:color="auto"/>
              <w:left w:val="single" w:sz="4" w:space="0" w:color="auto"/>
              <w:bottom w:val="single" w:sz="4" w:space="0" w:color="auto"/>
              <w:right w:val="single" w:sz="4" w:space="0" w:color="auto"/>
            </w:tcBorders>
            <w:vAlign w:val="center"/>
            <w:hideMark/>
          </w:tcPr>
          <w:p w14:paraId="751A3AFD"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2</w:t>
            </w:r>
          </w:p>
          <w:p w14:paraId="0A55FE5D"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6,3%</w:t>
            </w:r>
          </w:p>
        </w:tc>
        <w:tc>
          <w:tcPr>
            <w:tcW w:w="701" w:type="dxa"/>
            <w:tcBorders>
              <w:top w:val="single" w:sz="4" w:space="0" w:color="auto"/>
              <w:left w:val="single" w:sz="4" w:space="0" w:color="auto"/>
              <w:bottom w:val="single" w:sz="4" w:space="0" w:color="auto"/>
              <w:right w:val="single" w:sz="4" w:space="0" w:color="auto"/>
            </w:tcBorders>
            <w:vAlign w:val="center"/>
            <w:hideMark/>
          </w:tcPr>
          <w:p w14:paraId="200BF268"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0.07</w:t>
            </w:r>
          </w:p>
        </w:tc>
      </w:tr>
      <w:tr w:rsidR="00961BE6" w14:paraId="2F5A2380" w14:textId="77777777" w:rsidTr="00961BE6">
        <w:trPr>
          <w:trHeight w:val="522"/>
        </w:trPr>
        <w:tc>
          <w:tcPr>
            <w:tcW w:w="248" w:type="dxa"/>
            <w:tcBorders>
              <w:top w:val="single" w:sz="4" w:space="0" w:color="auto"/>
              <w:left w:val="single" w:sz="4" w:space="0" w:color="auto"/>
              <w:bottom w:val="single" w:sz="4" w:space="0" w:color="auto"/>
              <w:right w:val="nil"/>
            </w:tcBorders>
            <w:vAlign w:val="center"/>
          </w:tcPr>
          <w:p w14:paraId="2FF0A024" w14:textId="77777777" w:rsidR="00961BE6" w:rsidRDefault="00961BE6">
            <w:pPr>
              <w:widowControl w:val="0"/>
              <w:wordWrap w:val="0"/>
              <w:autoSpaceDE w:val="0"/>
              <w:autoSpaceDN w:val="0"/>
              <w:adjustRightInd w:val="0"/>
              <w:jc w:val="center"/>
              <w:rPr>
                <w:rFonts w:ascii="Times New Roman" w:eastAsia="Batang" w:hAnsi="Times New Roman"/>
                <w:kern w:val="2"/>
                <w:sz w:val="16"/>
                <w:szCs w:val="16"/>
                <w:lang w:val="en-US" w:eastAsia="ko-KR"/>
              </w:rPr>
            </w:pPr>
          </w:p>
        </w:tc>
        <w:tc>
          <w:tcPr>
            <w:tcW w:w="1415" w:type="dxa"/>
            <w:tcBorders>
              <w:top w:val="single" w:sz="4" w:space="0" w:color="auto"/>
              <w:left w:val="nil"/>
              <w:bottom w:val="single" w:sz="4" w:space="0" w:color="auto"/>
              <w:right w:val="single" w:sz="4" w:space="0" w:color="auto"/>
            </w:tcBorders>
            <w:vAlign w:val="center"/>
            <w:hideMark/>
          </w:tcPr>
          <w:p w14:paraId="3D3C5AA6"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Malnutrition %</w:t>
            </w:r>
          </w:p>
        </w:tc>
        <w:tc>
          <w:tcPr>
            <w:tcW w:w="752" w:type="dxa"/>
            <w:tcBorders>
              <w:top w:val="single" w:sz="4" w:space="0" w:color="auto"/>
              <w:left w:val="single" w:sz="4" w:space="0" w:color="auto"/>
              <w:bottom w:val="single" w:sz="4" w:space="0" w:color="auto"/>
              <w:right w:val="single" w:sz="4" w:space="0" w:color="auto"/>
            </w:tcBorders>
            <w:vAlign w:val="center"/>
            <w:hideMark/>
          </w:tcPr>
          <w:p w14:paraId="4F6E566A"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37</w:t>
            </w:r>
          </w:p>
          <w:p w14:paraId="56F5FE9E"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29,6%</w:t>
            </w:r>
          </w:p>
        </w:tc>
        <w:tc>
          <w:tcPr>
            <w:tcW w:w="752" w:type="dxa"/>
            <w:tcBorders>
              <w:top w:val="single" w:sz="4" w:space="0" w:color="auto"/>
              <w:left w:val="single" w:sz="4" w:space="0" w:color="auto"/>
              <w:bottom w:val="single" w:sz="4" w:space="0" w:color="auto"/>
              <w:right w:val="single" w:sz="4" w:space="0" w:color="auto"/>
            </w:tcBorders>
            <w:vAlign w:val="center"/>
          </w:tcPr>
          <w:p w14:paraId="3635D2A2"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49DE6585"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73E982E5"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15</w:t>
            </w:r>
          </w:p>
          <w:p w14:paraId="604F746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12,0%</w:t>
            </w:r>
          </w:p>
        </w:tc>
        <w:tc>
          <w:tcPr>
            <w:tcW w:w="978" w:type="dxa"/>
            <w:tcBorders>
              <w:top w:val="single" w:sz="4" w:space="0" w:color="auto"/>
              <w:left w:val="single" w:sz="4" w:space="0" w:color="auto"/>
              <w:bottom w:val="single" w:sz="4" w:space="0" w:color="auto"/>
              <w:right w:val="single" w:sz="4" w:space="0" w:color="auto"/>
            </w:tcBorders>
            <w:vAlign w:val="center"/>
            <w:hideMark/>
          </w:tcPr>
          <w:p w14:paraId="6330FB11"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18</w:t>
            </w:r>
          </w:p>
          <w:p w14:paraId="691C93BD"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14,4%</w:t>
            </w:r>
          </w:p>
        </w:tc>
        <w:tc>
          <w:tcPr>
            <w:tcW w:w="675" w:type="dxa"/>
            <w:tcBorders>
              <w:top w:val="single" w:sz="4" w:space="0" w:color="auto"/>
              <w:left w:val="single" w:sz="4" w:space="0" w:color="auto"/>
              <w:bottom w:val="single" w:sz="4" w:space="0" w:color="auto"/>
              <w:right w:val="single" w:sz="4" w:space="0" w:color="auto"/>
            </w:tcBorders>
            <w:vAlign w:val="center"/>
            <w:hideMark/>
          </w:tcPr>
          <w:p w14:paraId="085CAE54"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5</w:t>
            </w:r>
          </w:p>
          <w:p w14:paraId="669878DF"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4,0%</w:t>
            </w:r>
          </w:p>
        </w:tc>
        <w:tc>
          <w:tcPr>
            <w:tcW w:w="752" w:type="dxa"/>
            <w:tcBorders>
              <w:top w:val="single" w:sz="4" w:space="0" w:color="auto"/>
              <w:left w:val="single" w:sz="4" w:space="0" w:color="auto"/>
              <w:bottom w:val="single" w:sz="4" w:space="0" w:color="auto"/>
              <w:right w:val="single" w:sz="4" w:space="0" w:color="auto"/>
            </w:tcBorders>
            <w:vAlign w:val="center"/>
          </w:tcPr>
          <w:p w14:paraId="0261F13C"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027045B2"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282E684D"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46</w:t>
            </w:r>
          </w:p>
          <w:p w14:paraId="17642A03"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36,8%</w:t>
            </w:r>
          </w:p>
        </w:tc>
        <w:tc>
          <w:tcPr>
            <w:tcW w:w="793" w:type="dxa"/>
            <w:tcBorders>
              <w:top w:val="single" w:sz="4" w:space="0" w:color="auto"/>
              <w:left w:val="single" w:sz="4" w:space="0" w:color="auto"/>
              <w:bottom w:val="single" w:sz="4" w:space="0" w:color="auto"/>
              <w:right w:val="single" w:sz="4" w:space="0" w:color="auto"/>
            </w:tcBorders>
            <w:vAlign w:val="center"/>
            <w:hideMark/>
          </w:tcPr>
          <w:p w14:paraId="78AC7154"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2</w:t>
            </w:r>
          </w:p>
          <w:p w14:paraId="0A84A538"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1,6%</w:t>
            </w:r>
          </w:p>
        </w:tc>
        <w:tc>
          <w:tcPr>
            <w:tcW w:w="793" w:type="dxa"/>
            <w:tcBorders>
              <w:top w:val="single" w:sz="4" w:space="0" w:color="auto"/>
              <w:left w:val="single" w:sz="4" w:space="0" w:color="auto"/>
              <w:bottom w:val="single" w:sz="4" w:space="0" w:color="auto"/>
              <w:right w:val="single" w:sz="4" w:space="0" w:color="auto"/>
            </w:tcBorders>
            <w:vAlign w:val="center"/>
            <w:hideMark/>
          </w:tcPr>
          <w:p w14:paraId="1DC31902"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2</w:t>
            </w:r>
          </w:p>
          <w:p w14:paraId="60A31606"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1,6%</w:t>
            </w:r>
          </w:p>
        </w:tc>
        <w:tc>
          <w:tcPr>
            <w:tcW w:w="701" w:type="dxa"/>
            <w:tcBorders>
              <w:top w:val="single" w:sz="4" w:space="0" w:color="auto"/>
              <w:left w:val="single" w:sz="4" w:space="0" w:color="auto"/>
              <w:bottom w:val="single" w:sz="4" w:space="0" w:color="auto"/>
              <w:right w:val="single" w:sz="4" w:space="0" w:color="auto"/>
            </w:tcBorders>
            <w:vAlign w:val="center"/>
            <w:hideMark/>
          </w:tcPr>
          <w:p w14:paraId="6B90DC23"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0.01</w:t>
            </w:r>
          </w:p>
        </w:tc>
      </w:tr>
      <w:tr w:rsidR="00961BE6" w14:paraId="11A34C78" w14:textId="77777777" w:rsidTr="00961BE6">
        <w:trPr>
          <w:trHeight w:val="522"/>
        </w:trPr>
        <w:tc>
          <w:tcPr>
            <w:tcW w:w="248" w:type="dxa"/>
            <w:tcBorders>
              <w:top w:val="single" w:sz="4" w:space="0" w:color="auto"/>
              <w:left w:val="single" w:sz="4" w:space="0" w:color="auto"/>
              <w:bottom w:val="single" w:sz="4" w:space="0" w:color="auto"/>
              <w:right w:val="nil"/>
            </w:tcBorders>
            <w:vAlign w:val="center"/>
          </w:tcPr>
          <w:p w14:paraId="3010B7D9" w14:textId="77777777" w:rsidR="00961BE6" w:rsidRDefault="00961BE6">
            <w:pPr>
              <w:widowControl w:val="0"/>
              <w:wordWrap w:val="0"/>
              <w:autoSpaceDE w:val="0"/>
              <w:autoSpaceDN w:val="0"/>
              <w:adjustRightInd w:val="0"/>
              <w:jc w:val="center"/>
              <w:rPr>
                <w:rFonts w:ascii="Times New Roman" w:eastAsia="Batang" w:hAnsi="Times New Roman"/>
                <w:kern w:val="2"/>
                <w:sz w:val="16"/>
                <w:szCs w:val="16"/>
                <w:lang w:val="en-US" w:eastAsia="ko-KR"/>
              </w:rPr>
            </w:pPr>
          </w:p>
        </w:tc>
        <w:tc>
          <w:tcPr>
            <w:tcW w:w="1415" w:type="dxa"/>
            <w:tcBorders>
              <w:top w:val="single" w:sz="4" w:space="0" w:color="auto"/>
              <w:left w:val="nil"/>
              <w:bottom w:val="single" w:sz="4" w:space="0" w:color="auto"/>
              <w:right w:val="single" w:sz="4" w:space="0" w:color="auto"/>
            </w:tcBorders>
            <w:vAlign w:val="center"/>
            <w:hideMark/>
          </w:tcPr>
          <w:p w14:paraId="0C69CB37"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Acute Renal Failure %</w:t>
            </w:r>
          </w:p>
        </w:tc>
        <w:tc>
          <w:tcPr>
            <w:tcW w:w="752" w:type="dxa"/>
            <w:tcBorders>
              <w:top w:val="single" w:sz="4" w:space="0" w:color="auto"/>
              <w:left w:val="single" w:sz="4" w:space="0" w:color="auto"/>
              <w:bottom w:val="single" w:sz="4" w:space="0" w:color="auto"/>
              <w:right w:val="single" w:sz="4" w:space="0" w:color="auto"/>
            </w:tcBorders>
            <w:vAlign w:val="center"/>
            <w:hideMark/>
          </w:tcPr>
          <w:p w14:paraId="51A5A61E"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5</w:t>
            </w:r>
          </w:p>
          <w:p w14:paraId="5AE29C05"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7,7%</w:t>
            </w:r>
          </w:p>
        </w:tc>
        <w:tc>
          <w:tcPr>
            <w:tcW w:w="752" w:type="dxa"/>
            <w:tcBorders>
              <w:top w:val="single" w:sz="4" w:space="0" w:color="auto"/>
              <w:left w:val="single" w:sz="4" w:space="0" w:color="auto"/>
              <w:bottom w:val="single" w:sz="4" w:space="0" w:color="auto"/>
              <w:right w:val="single" w:sz="4" w:space="0" w:color="auto"/>
            </w:tcBorders>
            <w:vAlign w:val="center"/>
          </w:tcPr>
          <w:p w14:paraId="428864D3"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0590D9E8"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2104584C"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21</w:t>
            </w:r>
          </w:p>
          <w:p w14:paraId="3EBC2C3C"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32,3%</w:t>
            </w:r>
          </w:p>
        </w:tc>
        <w:tc>
          <w:tcPr>
            <w:tcW w:w="978" w:type="dxa"/>
            <w:tcBorders>
              <w:top w:val="single" w:sz="4" w:space="0" w:color="auto"/>
              <w:left w:val="single" w:sz="4" w:space="0" w:color="auto"/>
              <w:bottom w:val="single" w:sz="4" w:space="0" w:color="auto"/>
              <w:right w:val="single" w:sz="4" w:space="0" w:color="auto"/>
            </w:tcBorders>
            <w:vAlign w:val="center"/>
            <w:hideMark/>
          </w:tcPr>
          <w:p w14:paraId="53F9BE5B"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3</w:t>
            </w:r>
          </w:p>
          <w:p w14:paraId="2F088A9E"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4,6%</w:t>
            </w:r>
          </w:p>
        </w:tc>
        <w:tc>
          <w:tcPr>
            <w:tcW w:w="675" w:type="dxa"/>
            <w:tcBorders>
              <w:top w:val="single" w:sz="4" w:space="0" w:color="auto"/>
              <w:left w:val="single" w:sz="4" w:space="0" w:color="auto"/>
              <w:bottom w:val="single" w:sz="4" w:space="0" w:color="auto"/>
              <w:right w:val="single" w:sz="4" w:space="0" w:color="auto"/>
            </w:tcBorders>
            <w:vAlign w:val="center"/>
            <w:hideMark/>
          </w:tcPr>
          <w:p w14:paraId="75BA95E7"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3</w:t>
            </w:r>
          </w:p>
          <w:p w14:paraId="1215BC3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4,6%</w:t>
            </w:r>
          </w:p>
        </w:tc>
        <w:tc>
          <w:tcPr>
            <w:tcW w:w="752" w:type="dxa"/>
            <w:tcBorders>
              <w:top w:val="single" w:sz="4" w:space="0" w:color="auto"/>
              <w:left w:val="single" w:sz="4" w:space="0" w:color="auto"/>
              <w:bottom w:val="single" w:sz="4" w:space="0" w:color="auto"/>
              <w:right w:val="single" w:sz="4" w:space="0" w:color="auto"/>
            </w:tcBorders>
            <w:vAlign w:val="center"/>
            <w:hideMark/>
          </w:tcPr>
          <w:p w14:paraId="66E1BEFA"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4</w:t>
            </w:r>
          </w:p>
          <w:p w14:paraId="7D685D79"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6,2%</w:t>
            </w:r>
          </w:p>
        </w:tc>
        <w:tc>
          <w:tcPr>
            <w:tcW w:w="1101" w:type="dxa"/>
            <w:tcBorders>
              <w:top w:val="single" w:sz="4" w:space="0" w:color="auto"/>
              <w:left w:val="single" w:sz="4" w:space="0" w:color="auto"/>
              <w:bottom w:val="single" w:sz="4" w:space="0" w:color="auto"/>
              <w:right w:val="single" w:sz="4" w:space="0" w:color="auto"/>
            </w:tcBorders>
            <w:vAlign w:val="center"/>
            <w:hideMark/>
          </w:tcPr>
          <w:p w14:paraId="27D6F74D"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27</w:t>
            </w:r>
          </w:p>
          <w:p w14:paraId="7CDA00B0"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41,5%</w:t>
            </w:r>
          </w:p>
        </w:tc>
        <w:tc>
          <w:tcPr>
            <w:tcW w:w="793" w:type="dxa"/>
            <w:tcBorders>
              <w:top w:val="single" w:sz="4" w:space="0" w:color="auto"/>
              <w:left w:val="single" w:sz="4" w:space="0" w:color="auto"/>
              <w:bottom w:val="single" w:sz="4" w:space="0" w:color="auto"/>
              <w:right w:val="single" w:sz="4" w:space="0" w:color="auto"/>
            </w:tcBorders>
            <w:vAlign w:val="center"/>
          </w:tcPr>
          <w:p w14:paraId="52595739"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4874062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93" w:type="dxa"/>
            <w:tcBorders>
              <w:top w:val="single" w:sz="4" w:space="0" w:color="auto"/>
              <w:left w:val="single" w:sz="4" w:space="0" w:color="auto"/>
              <w:bottom w:val="single" w:sz="4" w:space="0" w:color="auto"/>
              <w:right w:val="single" w:sz="4" w:space="0" w:color="auto"/>
            </w:tcBorders>
            <w:vAlign w:val="center"/>
            <w:hideMark/>
          </w:tcPr>
          <w:p w14:paraId="261C6427"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2</w:t>
            </w:r>
          </w:p>
          <w:p w14:paraId="2A3AF42D"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3,1%</w:t>
            </w:r>
          </w:p>
        </w:tc>
        <w:tc>
          <w:tcPr>
            <w:tcW w:w="701" w:type="dxa"/>
            <w:tcBorders>
              <w:top w:val="single" w:sz="4" w:space="0" w:color="auto"/>
              <w:left w:val="single" w:sz="4" w:space="0" w:color="auto"/>
              <w:bottom w:val="single" w:sz="4" w:space="0" w:color="auto"/>
              <w:right w:val="single" w:sz="4" w:space="0" w:color="auto"/>
            </w:tcBorders>
            <w:vAlign w:val="center"/>
            <w:hideMark/>
          </w:tcPr>
          <w:p w14:paraId="32B62B2E"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0.01</w:t>
            </w:r>
          </w:p>
        </w:tc>
      </w:tr>
      <w:tr w:rsidR="00961BE6" w14:paraId="464FEE1C" w14:textId="77777777" w:rsidTr="00961BE6">
        <w:trPr>
          <w:trHeight w:val="510"/>
        </w:trPr>
        <w:tc>
          <w:tcPr>
            <w:tcW w:w="248" w:type="dxa"/>
            <w:tcBorders>
              <w:top w:val="single" w:sz="4" w:space="0" w:color="auto"/>
              <w:left w:val="single" w:sz="4" w:space="0" w:color="auto"/>
              <w:bottom w:val="single" w:sz="4" w:space="0" w:color="auto"/>
              <w:right w:val="nil"/>
            </w:tcBorders>
            <w:vAlign w:val="center"/>
          </w:tcPr>
          <w:p w14:paraId="40B95962" w14:textId="77777777" w:rsidR="00961BE6" w:rsidRDefault="00961BE6">
            <w:pPr>
              <w:widowControl w:val="0"/>
              <w:wordWrap w:val="0"/>
              <w:autoSpaceDE w:val="0"/>
              <w:autoSpaceDN w:val="0"/>
              <w:adjustRightInd w:val="0"/>
              <w:jc w:val="center"/>
              <w:rPr>
                <w:rFonts w:ascii="Times New Roman" w:eastAsia="Batang" w:hAnsi="Times New Roman"/>
                <w:kern w:val="2"/>
                <w:sz w:val="16"/>
                <w:szCs w:val="16"/>
                <w:lang w:val="en-US" w:eastAsia="ko-KR"/>
              </w:rPr>
            </w:pPr>
          </w:p>
        </w:tc>
        <w:tc>
          <w:tcPr>
            <w:tcW w:w="1415" w:type="dxa"/>
            <w:tcBorders>
              <w:top w:val="single" w:sz="4" w:space="0" w:color="auto"/>
              <w:left w:val="nil"/>
              <w:bottom w:val="single" w:sz="4" w:space="0" w:color="auto"/>
              <w:right w:val="single" w:sz="4" w:space="0" w:color="auto"/>
            </w:tcBorders>
            <w:vAlign w:val="center"/>
            <w:hideMark/>
          </w:tcPr>
          <w:p w14:paraId="21A6CA83"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hypernatremia%</w:t>
            </w:r>
          </w:p>
        </w:tc>
        <w:tc>
          <w:tcPr>
            <w:tcW w:w="752" w:type="dxa"/>
            <w:tcBorders>
              <w:top w:val="single" w:sz="4" w:space="0" w:color="auto"/>
              <w:left w:val="single" w:sz="4" w:space="0" w:color="auto"/>
              <w:bottom w:val="single" w:sz="4" w:space="0" w:color="auto"/>
              <w:right w:val="single" w:sz="4" w:space="0" w:color="auto"/>
            </w:tcBorders>
            <w:vAlign w:val="center"/>
            <w:hideMark/>
          </w:tcPr>
          <w:p w14:paraId="16B3C920"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w:t>
            </w:r>
          </w:p>
          <w:p w14:paraId="0A3799AF"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25,0%</w:t>
            </w:r>
          </w:p>
        </w:tc>
        <w:tc>
          <w:tcPr>
            <w:tcW w:w="752" w:type="dxa"/>
            <w:tcBorders>
              <w:top w:val="single" w:sz="4" w:space="0" w:color="auto"/>
              <w:left w:val="single" w:sz="4" w:space="0" w:color="auto"/>
              <w:bottom w:val="single" w:sz="4" w:space="0" w:color="auto"/>
              <w:right w:val="single" w:sz="4" w:space="0" w:color="auto"/>
            </w:tcBorders>
            <w:vAlign w:val="center"/>
          </w:tcPr>
          <w:p w14:paraId="120F85E0"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788F97CC"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845" w:type="dxa"/>
            <w:tcBorders>
              <w:top w:val="single" w:sz="4" w:space="0" w:color="auto"/>
              <w:left w:val="single" w:sz="4" w:space="0" w:color="auto"/>
              <w:bottom w:val="single" w:sz="4" w:space="0" w:color="auto"/>
              <w:right w:val="single" w:sz="4" w:space="0" w:color="auto"/>
            </w:tcBorders>
            <w:vAlign w:val="center"/>
          </w:tcPr>
          <w:p w14:paraId="37BF5A81"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42FFE832"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978" w:type="dxa"/>
            <w:tcBorders>
              <w:top w:val="single" w:sz="4" w:space="0" w:color="auto"/>
              <w:left w:val="single" w:sz="4" w:space="0" w:color="auto"/>
              <w:bottom w:val="single" w:sz="4" w:space="0" w:color="auto"/>
              <w:right w:val="single" w:sz="4" w:space="0" w:color="auto"/>
            </w:tcBorders>
            <w:vAlign w:val="center"/>
            <w:hideMark/>
          </w:tcPr>
          <w:p w14:paraId="6E7B9E21"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w:t>
            </w:r>
          </w:p>
          <w:p w14:paraId="176E3B45"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25,0%</w:t>
            </w:r>
          </w:p>
        </w:tc>
        <w:tc>
          <w:tcPr>
            <w:tcW w:w="675" w:type="dxa"/>
            <w:tcBorders>
              <w:top w:val="single" w:sz="4" w:space="0" w:color="auto"/>
              <w:left w:val="single" w:sz="4" w:space="0" w:color="auto"/>
              <w:bottom w:val="single" w:sz="4" w:space="0" w:color="auto"/>
              <w:right w:val="single" w:sz="4" w:space="0" w:color="auto"/>
            </w:tcBorders>
            <w:vAlign w:val="center"/>
          </w:tcPr>
          <w:p w14:paraId="7AE49377"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2DFA2E6C"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52" w:type="dxa"/>
            <w:tcBorders>
              <w:top w:val="single" w:sz="4" w:space="0" w:color="auto"/>
              <w:left w:val="single" w:sz="4" w:space="0" w:color="auto"/>
              <w:bottom w:val="single" w:sz="4" w:space="0" w:color="auto"/>
              <w:right w:val="single" w:sz="4" w:space="0" w:color="auto"/>
            </w:tcBorders>
            <w:vAlign w:val="center"/>
            <w:hideMark/>
          </w:tcPr>
          <w:p w14:paraId="71D3B82D"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w:t>
            </w:r>
          </w:p>
          <w:p w14:paraId="624D9978"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25,0%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6058BDA"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w:t>
            </w:r>
          </w:p>
          <w:p w14:paraId="2DD2FC51"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25,0%</w:t>
            </w:r>
          </w:p>
        </w:tc>
        <w:tc>
          <w:tcPr>
            <w:tcW w:w="793" w:type="dxa"/>
            <w:tcBorders>
              <w:top w:val="single" w:sz="4" w:space="0" w:color="auto"/>
              <w:left w:val="single" w:sz="4" w:space="0" w:color="auto"/>
              <w:bottom w:val="single" w:sz="4" w:space="0" w:color="auto"/>
              <w:right w:val="single" w:sz="4" w:space="0" w:color="auto"/>
            </w:tcBorders>
            <w:vAlign w:val="center"/>
          </w:tcPr>
          <w:p w14:paraId="12268C44"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6BDFC233"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93" w:type="dxa"/>
            <w:tcBorders>
              <w:top w:val="single" w:sz="4" w:space="0" w:color="auto"/>
              <w:left w:val="single" w:sz="4" w:space="0" w:color="auto"/>
              <w:bottom w:val="single" w:sz="4" w:space="0" w:color="auto"/>
              <w:right w:val="single" w:sz="4" w:space="0" w:color="auto"/>
            </w:tcBorders>
            <w:vAlign w:val="center"/>
          </w:tcPr>
          <w:p w14:paraId="022A12E5"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2323921E"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01" w:type="dxa"/>
            <w:tcBorders>
              <w:top w:val="single" w:sz="4" w:space="0" w:color="auto"/>
              <w:left w:val="single" w:sz="4" w:space="0" w:color="auto"/>
              <w:bottom w:val="single" w:sz="4" w:space="0" w:color="auto"/>
              <w:right w:val="single" w:sz="4" w:space="0" w:color="auto"/>
            </w:tcBorders>
            <w:vAlign w:val="center"/>
            <w:hideMark/>
          </w:tcPr>
          <w:p w14:paraId="26A941D9"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0.037</w:t>
            </w:r>
          </w:p>
        </w:tc>
      </w:tr>
      <w:tr w:rsidR="00961BE6" w14:paraId="67E0AC35" w14:textId="77777777" w:rsidTr="00961BE6">
        <w:trPr>
          <w:trHeight w:val="357"/>
        </w:trPr>
        <w:tc>
          <w:tcPr>
            <w:tcW w:w="248" w:type="dxa"/>
            <w:tcBorders>
              <w:top w:val="single" w:sz="4" w:space="0" w:color="auto"/>
              <w:left w:val="single" w:sz="4" w:space="0" w:color="auto"/>
              <w:bottom w:val="single" w:sz="4" w:space="0" w:color="auto"/>
              <w:right w:val="nil"/>
            </w:tcBorders>
            <w:vAlign w:val="center"/>
          </w:tcPr>
          <w:p w14:paraId="036E7E91" w14:textId="77777777" w:rsidR="00961BE6" w:rsidRDefault="00961BE6">
            <w:pPr>
              <w:widowControl w:val="0"/>
              <w:wordWrap w:val="0"/>
              <w:autoSpaceDE w:val="0"/>
              <w:autoSpaceDN w:val="0"/>
              <w:adjustRightInd w:val="0"/>
              <w:jc w:val="center"/>
              <w:rPr>
                <w:rFonts w:ascii="Times New Roman" w:eastAsia="Batang" w:hAnsi="Times New Roman"/>
                <w:kern w:val="2"/>
                <w:sz w:val="16"/>
                <w:szCs w:val="16"/>
                <w:lang w:val="en-US" w:eastAsia="ko-KR"/>
              </w:rPr>
            </w:pPr>
          </w:p>
        </w:tc>
        <w:tc>
          <w:tcPr>
            <w:tcW w:w="1415" w:type="dxa"/>
            <w:tcBorders>
              <w:top w:val="single" w:sz="4" w:space="0" w:color="auto"/>
              <w:left w:val="nil"/>
              <w:bottom w:val="single" w:sz="4" w:space="0" w:color="auto"/>
              <w:right w:val="single" w:sz="4" w:space="0" w:color="auto"/>
            </w:tcBorders>
            <w:vAlign w:val="center"/>
            <w:hideMark/>
          </w:tcPr>
          <w:p w14:paraId="40FA44B6"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hypoglisemia%</w:t>
            </w:r>
          </w:p>
        </w:tc>
        <w:tc>
          <w:tcPr>
            <w:tcW w:w="752" w:type="dxa"/>
            <w:tcBorders>
              <w:top w:val="single" w:sz="4" w:space="0" w:color="auto"/>
              <w:left w:val="single" w:sz="4" w:space="0" w:color="auto"/>
              <w:bottom w:val="single" w:sz="4" w:space="0" w:color="auto"/>
              <w:right w:val="single" w:sz="4" w:space="0" w:color="auto"/>
            </w:tcBorders>
            <w:vAlign w:val="center"/>
            <w:hideMark/>
          </w:tcPr>
          <w:p w14:paraId="5C2AD142"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w:t>
            </w:r>
          </w:p>
          <w:p w14:paraId="71AAB45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8,3%</w:t>
            </w:r>
          </w:p>
        </w:tc>
        <w:tc>
          <w:tcPr>
            <w:tcW w:w="752" w:type="dxa"/>
            <w:tcBorders>
              <w:top w:val="single" w:sz="4" w:space="0" w:color="auto"/>
              <w:left w:val="single" w:sz="4" w:space="0" w:color="auto"/>
              <w:bottom w:val="single" w:sz="4" w:space="0" w:color="auto"/>
              <w:right w:val="single" w:sz="4" w:space="0" w:color="auto"/>
            </w:tcBorders>
            <w:vAlign w:val="center"/>
          </w:tcPr>
          <w:p w14:paraId="3CD4F52C"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50CE8029"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1D17834E"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10</w:t>
            </w:r>
          </w:p>
          <w:p w14:paraId="2A151C15"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83,3%</w:t>
            </w:r>
          </w:p>
        </w:tc>
        <w:tc>
          <w:tcPr>
            <w:tcW w:w="978" w:type="dxa"/>
            <w:tcBorders>
              <w:top w:val="single" w:sz="4" w:space="0" w:color="auto"/>
              <w:left w:val="single" w:sz="4" w:space="0" w:color="auto"/>
              <w:bottom w:val="single" w:sz="4" w:space="0" w:color="auto"/>
              <w:right w:val="single" w:sz="4" w:space="0" w:color="auto"/>
            </w:tcBorders>
            <w:vAlign w:val="center"/>
          </w:tcPr>
          <w:p w14:paraId="06E315D1"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50C8B1A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675" w:type="dxa"/>
            <w:tcBorders>
              <w:top w:val="single" w:sz="4" w:space="0" w:color="auto"/>
              <w:left w:val="single" w:sz="4" w:space="0" w:color="auto"/>
              <w:bottom w:val="single" w:sz="4" w:space="0" w:color="auto"/>
              <w:right w:val="single" w:sz="4" w:space="0" w:color="auto"/>
            </w:tcBorders>
            <w:vAlign w:val="center"/>
          </w:tcPr>
          <w:p w14:paraId="3E53BBB1"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2D544A59"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52" w:type="dxa"/>
            <w:tcBorders>
              <w:top w:val="single" w:sz="4" w:space="0" w:color="auto"/>
              <w:left w:val="single" w:sz="4" w:space="0" w:color="auto"/>
              <w:bottom w:val="single" w:sz="4" w:space="0" w:color="auto"/>
              <w:right w:val="single" w:sz="4" w:space="0" w:color="auto"/>
            </w:tcBorders>
            <w:vAlign w:val="center"/>
          </w:tcPr>
          <w:p w14:paraId="15B4F208"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59B5CB23"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2E3EDA54"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1</w:t>
            </w:r>
          </w:p>
          <w:p w14:paraId="3C4A8F79"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8,3%</w:t>
            </w:r>
          </w:p>
        </w:tc>
        <w:tc>
          <w:tcPr>
            <w:tcW w:w="793" w:type="dxa"/>
            <w:tcBorders>
              <w:top w:val="single" w:sz="4" w:space="0" w:color="auto"/>
              <w:left w:val="single" w:sz="4" w:space="0" w:color="auto"/>
              <w:bottom w:val="single" w:sz="4" w:space="0" w:color="auto"/>
              <w:right w:val="single" w:sz="4" w:space="0" w:color="auto"/>
            </w:tcBorders>
            <w:vAlign w:val="center"/>
          </w:tcPr>
          <w:p w14:paraId="136EEF53"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21DFF8E1"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93" w:type="dxa"/>
            <w:tcBorders>
              <w:top w:val="single" w:sz="4" w:space="0" w:color="auto"/>
              <w:left w:val="single" w:sz="4" w:space="0" w:color="auto"/>
              <w:bottom w:val="single" w:sz="4" w:space="0" w:color="auto"/>
              <w:right w:val="single" w:sz="4" w:space="0" w:color="auto"/>
            </w:tcBorders>
            <w:vAlign w:val="center"/>
          </w:tcPr>
          <w:p w14:paraId="285B8C48"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5B217701"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01" w:type="dxa"/>
            <w:tcBorders>
              <w:top w:val="single" w:sz="4" w:space="0" w:color="auto"/>
              <w:left w:val="single" w:sz="4" w:space="0" w:color="auto"/>
              <w:bottom w:val="single" w:sz="4" w:space="0" w:color="auto"/>
              <w:right w:val="single" w:sz="4" w:space="0" w:color="auto"/>
            </w:tcBorders>
            <w:vAlign w:val="center"/>
            <w:hideMark/>
          </w:tcPr>
          <w:p w14:paraId="2DDF3AD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0.14</w:t>
            </w:r>
          </w:p>
        </w:tc>
      </w:tr>
      <w:tr w:rsidR="00961BE6" w14:paraId="409DCC97" w14:textId="77777777" w:rsidTr="00961BE6">
        <w:trPr>
          <w:trHeight w:val="344"/>
        </w:trPr>
        <w:tc>
          <w:tcPr>
            <w:tcW w:w="248" w:type="dxa"/>
            <w:tcBorders>
              <w:top w:val="single" w:sz="4" w:space="0" w:color="auto"/>
              <w:left w:val="single" w:sz="4" w:space="0" w:color="auto"/>
              <w:bottom w:val="single" w:sz="4" w:space="0" w:color="auto"/>
              <w:right w:val="nil"/>
            </w:tcBorders>
            <w:vAlign w:val="center"/>
          </w:tcPr>
          <w:p w14:paraId="313B5B40" w14:textId="77777777" w:rsidR="00961BE6" w:rsidRDefault="00961BE6">
            <w:pPr>
              <w:widowControl w:val="0"/>
              <w:wordWrap w:val="0"/>
              <w:autoSpaceDE w:val="0"/>
              <w:autoSpaceDN w:val="0"/>
              <w:adjustRightInd w:val="0"/>
              <w:jc w:val="center"/>
              <w:rPr>
                <w:rFonts w:ascii="Times New Roman" w:eastAsia="Batang" w:hAnsi="Times New Roman"/>
                <w:kern w:val="2"/>
                <w:sz w:val="16"/>
                <w:szCs w:val="16"/>
                <w:lang w:val="en-US" w:eastAsia="ko-KR"/>
              </w:rPr>
            </w:pPr>
          </w:p>
        </w:tc>
        <w:tc>
          <w:tcPr>
            <w:tcW w:w="1415" w:type="dxa"/>
            <w:tcBorders>
              <w:top w:val="single" w:sz="4" w:space="0" w:color="auto"/>
              <w:left w:val="nil"/>
              <w:bottom w:val="single" w:sz="4" w:space="0" w:color="auto"/>
              <w:right w:val="single" w:sz="4" w:space="0" w:color="auto"/>
            </w:tcBorders>
            <w:vAlign w:val="center"/>
            <w:hideMark/>
          </w:tcPr>
          <w:p w14:paraId="4D28729A"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Polycythemia %</w:t>
            </w:r>
          </w:p>
        </w:tc>
        <w:tc>
          <w:tcPr>
            <w:tcW w:w="752" w:type="dxa"/>
            <w:tcBorders>
              <w:top w:val="single" w:sz="4" w:space="0" w:color="auto"/>
              <w:left w:val="single" w:sz="4" w:space="0" w:color="auto"/>
              <w:bottom w:val="single" w:sz="4" w:space="0" w:color="auto"/>
              <w:right w:val="single" w:sz="4" w:space="0" w:color="auto"/>
            </w:tcBorders>
            <w:vAlign w:val="center"/>
          </w:tcPr>
          <w:p w14:paraId="23C15B4F"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4BD8A59D"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52" w:type="dxa"/>
            <w:tcBorders>
              <w:top w:val="single" w:sz="4" w:space="0" w:color="auto"/>
              <w:left w:val="single" w:sz="4" w:space="0" w:color="auto"/>
              <w:bottom w:val="single" w:sz="4" w:space="0" w:color="auto"/>
              <w:right w:val="single" w:sz="4" w:space="0" w:color="auto"/>
            </w:tcBorders>
            <w:vAlign w:val="center"/>
          </w:tcPr>
          <w:p w14:paraId="51564F8D"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7736B40E"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845" w:type="dxa"/>
            <w:tcBorders>
              <w:top w:val="single" w:sz="4" w:space="0" w:color="auto"/>
              <w:left w:val="single" w:sz="4" w:space="0" w:color="auto"/>
              <w:bottom w:val="single" w:sz="4" w:space="0" w:color="auto"/>
              <w:right w:val="single" w:sz="4" w:space="0" w:color="auto"/>
            </w:tcBorders>
            <w:vAlign w:val="center"/>
          </w:tcPr>
          <w:p w14:paraId="08A66324"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72361EB0"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978" w:type="dxa"/>
            <w:tcBorders>
              <w:top w:val="single" w:sz="4" w:space="0" w:color="auto"/>
              <w:left w:val="single" w:sz="4" w:space="0" w:color="auto"/>
              <w:bottom w:val="single" w:sz="4" w:space="0" w:color="auto"/>
              <w:right w:val="single" w:sz="4" w:space="0" w:color="auto"/>
            </w:tcBorders>
            <w:vAlign w:val="center"/>
          </w:tcPr>
          <w:p w14:paraId="21443223"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50442748"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675" w:type="dxa"/>
            <w:tcBorders>
              <w:top w:val="single" w:sz="4" w:space="0" w:color="auto"/>
              <w:left w:val="single" w:sz="4" w:space="0" w:color="auto"/>
              <w:bottom w:val="single" w:sz="4" w:space="0" w:color="auto"/>
              <w:right w:val="single" w:sz="4" w:space="0" w:color="auto"/>
            </w:tcBorders>
            <w:vAlign w:val="center"/>
          </w:tcPr>
          <w:p w14:paraId="61A3C255"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6263142A"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52" w:type="dxa"/>
            <w:tcBorders>
              <w:top w:val="single" w:sz="4" w:space="0" w:color="auto"/>
              <w:left w:val="single" w:sz="4" w:space="0" w:color="auto"/>
              <w:bottom w:val="single" w:sz="4" w:space="0" w:color="auto"/>
              <w:right w:val="single" w:sz="4" w:space="0" w:color="auto"/>
            </w:tcBorders>
            <w:vAlign w:val="center"/>
          </w:tcPr>
          <w:p w14:paraId="0E096E92"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1AE38C51"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268AB886"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8</w:t>
            </w:r>
          </w:p>
          <w:p w14:paraId="32D5AFE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100,0%</w:t>
            </w:r>
          </w:p>
        </w:tc>
        <w:tc>
          <w:tcPr>
            <w:tcW w:w="793" w:type="dxa"/>
            <w:tcBorders>
              <w:top w:val="single" w:sz="4" w:space="0" w:color="auto"/>
              <w:left w:val="single" w:sz="4" w:space="0" w:color="auto"/>
              <w:bottom w:val="single" w:sz="4" w:space="0" w:color="auto"/>
              <w:right w:val="single" w:sz="4" w:space="0" w:color="auto"/>
            </w:tcBorders>
            <w:vAlign w:val="center"/>
          </w:tcPr>
          <w:p w14:paraId="4AC9950B"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3267B152"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93" w:type="dxa"/>
            <w:tcBorders>
              <w:top w:val="single" w:sz="4" w:space="0" w:color="auto"/>
              <w:left w:val="single" w:sz="4" w:space="0" w:color="auto"/>
              <w:bottom w:val="single" w:sz="4" w:space="0" w:color="auto"/>
              <w:right w:val="single" w:sz="4" w:space="0" w:color="auto"/>
            </w:tcBorders>
            <w:vAlign w:val="center"/>
          </w:tcPr>
          <w:p w14:paraId="4F0A66F6"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5D1CD2D7"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01" w:type="dxa"/>
            <w:tcBorders>
              <w:top w:val="single" w:sz="4" w:space="0" w:color="auto"/>
              <w:left w:val="single" w:sz="4" w:space="0" w:color="auto"/>
              <w:bottom w:val="single" w:sz="4" w:space="0" w:color="auto"/>
              <w:right w:val="single" w:sz="4" w:space="0" w:color="auto"/>
            </w:tcBorders>
            <w:vAlign w:val="center"/>
            <w:hideMark/>
          </w:tcPr>
          <w:p w14:paraId="35D17C6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0.08</w:t>
            </w:r>
          </w:p>
        </w:tc>
      </w:tr>
      <w:tr w:rsidR="00961BE6" w14:paraId="35F2EB6C" w14:textId="77777777" w:rsidTr="00961BE6">
        <w:trPr>
          <w:trHeight w:val="522"/>
        </w:trPr>
        <w:tc>
          <w:tcPr>
            <w:tcW w:w="248" w:type="dxa"/>
            <w:tcBorders>
              <w:top w:val="single" w:sz="4" w:space="0" w:color="auto"/>
              <w:left w:val="single" w:sz="4" w:space="0" w:color="auto"/>
              <w:bottom w:val="single" w:sz="4" w:space="0" w:color="auto"/>
              <w:right w:val="nil"/>
            </w:tcBorders>
            <w:vAlign w:val="center"/>
          </w:tcPr>
          <w:p w14:paraId="00BE828B" w14:textId="77777777" w:rsidR="00961BE6" w:rsidRDefault="00961BE6">
            <w:pPr>
              <w:widowControl w:val="0"/>
              <w:wordWrap w:val="0"/>
              <w:autoSpaceDE w:val="0"/>
              <w:autoSpaceDN w:val="0"/>
              <w:adjustRightInd w:val="0"/>
              <w:jc w:val="center"/>
              <w:rPr>
                <w:rFonts w:ascii="Times New Roman" w:eastAsia="Batang" w:hAnsi="Times New Roman"/>
                <w:kern w:val="2"/>
                <w:sz w:val="16"/>
                <w:szCs w:val="16"/>
                <w:lang w:val="en-US" w:eastAsia="ko-KR"/>
              </w:rPr>
            </w:pPr>
          </w:p>
        </w:tc>
        <w:tc>
          <w:tcPr>
            <w:tcW w:w="1415" w:type="dxa"/>
            <w:tcBorders>
              <w:top w:val="single" w:sz="4" w:space="0" w:color="auto"/>
              <w:left w:val="nil"/>
              <w:bottom w:val="single" w:sz="4" w:space="0" w:color="auto"/>
              <w:right w:val="single" w:sz="4" w:space="0" w:color="auto"/>
            </w:tcBorders>
            <w:vAlign w:val="center"/>
            <w:hideMark/>
          </w:tcPr>
          <w:p w14:paraId="27A2BF20"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gastroenteritis%</w:t>
            </w:r>
          </w:p>
        </w:tc>
        <w:tc>
          <w:tcPr>
            <w:tcW w:w="752" w:type="dxa"/>
            <w:tcBorders>
              <w:top w:val="single" w:sz="4" w:space="0" w:color="auto"/>
              <w:left w:val="single" w:sz="4" w:space="0" w:color="auto"/>
              <w:bottom w:val="single" w:sz="4" w:space="0" w:color="auto"/>
              <w:right w:val="single" w:sz="4" w:space="0" w:color="auto"/>
            </w:tcBorders>
            <w:vAlign w:val="center"/>
            <w:hideMark/>
          </w:tcPr>
          <w:p w14:paraId="298B040C"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5</w:t>
            </w:r>
          </w:p>
          <w:p w14:paraId="55270208"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45,5%</w:t>
            </w:r>
          </w:p>
        </w:tc>
        <w:tc>
          <w:tcPr>
            <w:tcW w:w="752" w:type="dxa"/>
            <w:tcBorders>
              <w:top w:val="single" w:sz="4" w:space="0" w:color="auto"/>
              <w:left w:val="single" w:sz="4" w:space="0" w:color="auto"/>
              <w:bottom w:val="single" w:sz="4" w:space="0" w:color="auto"/>
              <w:right w:val="single" w:sz="4" w:space="0" w:color="auto"/>
            </w:tcBorders>
            <w:vAlign w:val="center"/>
          </w:tcPr>
          <w:p w14:paraId="5485E1E8"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2F386037"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20CFFD24"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3</w:t>
            </w:r>
          </w:p>
          <w:p w14:paraId="662F1BC7"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27,3%</w:t>
            </w:r>
          </w:p>
        </w:tc>
        <w:tc>
          <w:tcPr>
            <w:tcW w:w="978" w:type="dxa"/>
            <w:tcBorders>
              <w:top w:val="single" w:sz="4" w:space="0" w:color="auto"/>
              <w:left w:val="single" w:sz="4" w:space="0" w:color="auto"/>
              <w:bottom w:val="single" w:sz="4" w:space="0" w:color="auto"/>
              <w:right w:val="single" w:sz="4" w:space="0" w:color="auto"/>
            </w:tcBorders>
            <w:vAlign w:val="center"/>
          </w:tcPr>
          <w:p w14:paraId="384988FF"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78196118"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675" w:type="dxa"/>
            <w:tcBorders>
              <w:top w:val="single" w:sz="4" w:space="0" w:color="auto"/>
              <w:left w:val="single" w:sz="4" w:space="0" w:color="auto"/>
              <w:bottom w:val="single" w:sz="4" w:space="0" w:color="auto"/>
              <w:right w:val="single" w:sz="4" w:space="0" w:color="auto"/>
            </w:tcBorders>
            <w:vAlign w:val="center"/>
          </w:tcPr>
          <w:p w14:paraId="00AEDA59"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4EFB28C7"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52" w:type="dxa"/>
            <w:tcBorders>
              <w:top w:val="single" w:sz="4" w:space="0" w:color="auto"/>
              <w:left w:val="single" w:sz="4" w:space="0" w:color="auto"/>
              <w:bottom w:val="single" w:sz="4" w:space="0" w:color="auto"/>
              <w:right w:val="single" w:sz="4" w:space="0" w:color="auto"/>
            </w:tcBorders>
            <w:vAlign w:val="center"/>
          </w:tcPr>
          <w:p w14:paraId="145826B9"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14D250A4"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636C575A"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3</w:t>
            </w:r>
          </w:p>
          <w:p w14:paraId="4E60053D"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27,3%</w:t>
            </w:r>
          </w:p>
        </w:tc>
        <w:tc>
          <w:tcPr>
            <w:tcW w:w="793" w:type="dxa"/>
            <w:tcBorders>
              <w:top w:val="single" w:sz="4" w:space="0" w:color="auto"/>
              <w:left w:val="single" w:sz="4" w:space="0" w:color="auto"/>
              <w:bottom w:val="single" w:sz="4" w:space="0" w:color="auto"/>
              <w:right w:val="single" w:sz="4" w:space="0" w:color="auto"/>
            </w:tcBorders>
            <w:vAlign w:val="center"/>
          </w:tcPr>
          <w:p w14:paraId="54B5E46D"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61091FAF"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93" w:type="dxa"/>
            <w:tcBorders>
              <w:top w:val="single" w:sz="4" w:space="0" w:color="auto"/>
              <w:left w:val="single" w:sz="4" w:space="0" w:color="auto"/>
              <w:bottom w:val="single" w:sz="4" w:space="0" w:color="auto"/>
              <w:right w:val="single" w:sz="4" w:space="0" w:color="auto"/>
            </w:tcBorders>
            <w:vAlign w:val="center"/>
          </w:tcPr>
          <w:p w14:paraId="3611609B" w14:textId="77777777" w:rsidR="00961BE6" w:rsidRDefault="00961BE6">
            <w:pPr>
              <w:adjustRightInd w:val="0"/>
              <w:ind w:left="60" w:right="60"/>
              <w:jc w:val="center"/>
              <w:rPr>
                <w:rFonts w:ascii="Times New Roman" w:eastAsia="Batang" w:hAnsi="Times New Roman"/>
                <w:kern w:val="2"/>
                <w:sz w:val="16"/>
                <w:szCs w:val="16"/>
                <w:lang w:val="en-US" w:eastAsia="ko-KR"/>
              </w:rPr>
            </w:pPr>
            <w:r>
              <w:rPr>
                <w:rFonts w:ascii="Times New Roman"/>
                <w:sz w:val="16"/>
                <w:szCs w:val="16"/>
              </w:rPr>
              <w:t>0</w:t>
            </w:r>
          </w:p>
          <w:p w14:paraId="53B3E097"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p>
        </w:tc>
        <w:tc>
          <w:tcPr>
            <w:tcW w:w="701" w:type="dxa"/>
            <w:tcBorders>
              <w:top w:val="single" w:sz="4" w:space="0" w:color="auto"/>
              <w:left w:val="single" w:sz="4" w:space="0" w:color="auto"/>
              <w:bottom w:val="single" w:sz="4" w:space="0" w:color="auto"/>
              <w:right w:val="single" w:sz="4" w:space="0" w:color="auto"/>
            </w:tcBorders>
            <w:vAlign w:val="center"/>
          </w:tcPr>
          <w:p w14:paraId="36BBE93B" w14:textId="77777777" w:rsidR="00961BE6" w:rsidRDefault="00961BE6">
            <w:pPr>
              <w:adjustRightInd w:val="0"/>
              <w:ind w:left="60" w:right="60"/>
              <w:jc w:val="center"/>
              <w:rPr>
                <w:rFonts w:ascii="Times New Roman" w:eastAsia="Batang" w:hAnsi="Times New Roman"/>
                <w:kern w:val="2"/>
                <w:sz w:val="16"/>
                <w:szCs w:val="16"/>
                <w:lang w:val="en-US" w:eastAsia="ko-KR"/>
              </w:rPr>
            </w:pPr>
          </w:p>
          <w:p w14:paraId="61EF573F" w14:textId="77777777" w:rsidR="00961BE6" w:rsidRDefault="00961BE6">
            <w:pPr>
              <w:widowControl w:val="0"/>
              <w:wordWrap w:val="0"/>
              <w:autoSpaceDE w:val="0"/>
              <w:autoSpaceDN w:val="0"/>
              <w:adjustRightInd w:val="0"/>
              <w:ind w:left="60" w:right="60"/>
              <w:jc w:val="center"/>
              <w:rPr>
                <w:rFonts w:ascii="Times New Roman" w:eastAsia="Batang" w:hAnsi="Times New Roman"/>
                <w:kern w:val="2"/>
                <w:sz w:val="16"/>
                <w:szCs w:val="16"/>
                <w:lang w:val="en-US" w:eastAsia="ko-KR"/>
              </w:rPr>
            </w:pPr>
            <w:r>
              <w:rPr>
                <w:rFonts w:ascii="Times New Roman"/>
                <w:sz w:val="16"/>
                <w:szCs w:val="16"/>
              </w:rPr>
              <w:t>0.835</w:t>
            </w:r>
          </w:p>
        </w:tc>
      </w:tr>
    </w:tbl>
    <w:p w14:paraId="7BF32269" w14:textId="433E586A" w:rsidR="00961BE6" w:rsidRPr="00332BE6" w:rsidRDefault="00961BE6" w:rsidP="00002A48">
      <w:pPr>
        <w:spacing w:line="480" w:lineRule="auto"/>
        <w:jc w:val="both"/>
        <w:rPr>
          <w:rFonts w:ascii="Times New Roman" w:hAnsi="Times New Roman"/>
          <w:sz w:val="24"/>
          <w:szCs w:val="24"/>
        </w:rPr>
      </w:pPr>
      <w:r>
        <w:rPr>
          <w:rFonts w:ascii="Times New Roman"/>
          <w:szCs w:val="20"/>
          <w:rtl/>
        </w:rPr>
        <w:t>٭</w:t>
      </w:r>
      <w:r>
        <w:rPr>
          <w:rFonts w:ascii="Times New Roman"/>
          <w:szCs w:val="20"/>
        </w:rPr>
        <w:t>Pearson chi sq</w:t>
      </w:r>
    </w:p>
    <w:sectPr w:rsidR="00961BE6" w:rsidRPr="00332BE6" w:rsidSect="00DB61AE">
      <w:footerReference w:type="default" r:id="rId9"/>
      <w:pgSz w:w="11907" w:h="16840" w:code="9"/>
      <w:pgMar w:top="1701" w:right="1701" w:bottom="1701" w:left="1701" w:header="794"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7224F" w14:textId="77777777" w:rsidR="006C68EB" w:rsidRDefault="006C68EB">
      <w:pPr>
        <w:spacing w:after="0" w:line="240" w:lineRule="auto"/>
      </w:pPr>
      <w:r>
        <w:separator/>
      </w:r>
    </w:p>
  </w:endnote>
  <w:endnote w:type="continuationSeparator" w:id="0">
    <w:p w14:paraId="593462FC" w14:textId="77777777" w:rsidR="006C68EB" w:rsidRDefault="006C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53937"/>
      <w:docPartObj>
        <w:docPartGallery w:val="Page Numbers (Bottom of Page)"/>
        <w:docPartUnique/>
      </w:docPartObj>
    </w:sdtPr>
    <w:sdtContent>
      <w:p w14:paraId="518FD9D7" w14:textId="516D2A5E" w:rsidR="00383DF9" w:rsidRDefault="00383DF9">
        <w:pPr>
          <w:pStyle w:val="Altbilgi"/>
          <w:jc w:val="right"/>
        </w:pPr>
        <w:r>
          <w:fldChar w:fldCharType="begin"/>
        </w:r>
        <w:r>
          <w:instrText>PAGE   \* MERGEFORMAT</w:instrText>
        </w:r>
        <w:r>
          <w:fldChar w:fldCharType="separate"/>
        </w:r>
        <w:r w:rsidR="00370F9E">
          <w:rPr>
            <w:noProof/>
          </w:rPr>
          <w:t>9</w:t>
        </w:r>
        <w:r>
          <w:fldChar w:fldCharType="end"/>
        </w:r>
      </w:p>
    </w:sdtContent>
  </w:sdt>
  <w:p w14:paraId="08A048FB" w14:textId="042D1BCA" w:rsidR="00383DF9" w:rsidRPr="00C123D6" w:rsidRDefault="00383DF9">
    <w:pPr>
      <w:pStyle w:val="Altbilgi"/>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0CA1D" w14:textId="77777777" w:rsidR="006C68EB" w:rsidRDefault="006C68EB">
      <w:pPr>
        <w:spacing w:after="0" w:line="240" w:lineRule="auto"/>
      </w:pPr>
      <w:r>
        <w:separator/>
      </w:r>
    </w:p>
  </w:footnote>
  <w:footnote w:type="continuationSeparator" w:id="0">
    <w:p w14:paraId="18C58DD1" w14:textId="77777777" w:rsidR="006C68EB" w:rsidRDefault="006C6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9E6"/>
    <w:multiLevelType w:val="hybridMultilevel"/>
    <w:tmpl w:val="7F0425B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6C"/>
    <w:rsid w:val="00002A48"/>
    <w:rsid w:val="00010D15"/>
    <w:rsid w:val="00017BFE"/>
    <w:rsid w:val="000205D6"/>
    <w:rsid w:val="000375E1"/>
    <w:rsid w:val="0005309D"/>
    <w:rsid w:val="0005670E"/>
    <w:rsid w:val="000635AF"/>
    <w:rsid w:val="00074E7C"/>
    <w:rsid w:val="000828D0"/>
    <w:rsid w:val="000A5444"/>
    <w:rsid w:val="000C1F7B"/>
    <w:rsid w:val="000E3A38"/>
    <w:rsid w:val="0010071F"/>
    <w:rsid w:val="001049BE"/>
    <w:rsid w:val="00106E47"/>
    <w:rsid w:val="00112EF5"/>
    <w:rsid w:val="00132C68"/>
    <w:rsid w:val="00154C39"/>
    <w:rsid w:val="001634D1"/>
    <w:rsid w:val="00170DAD"/>
    <w:rsid w:val="00181ED5"/>
    <w:rsid w:val="001A593C"/>
    <w:rsid w:val="001B338E"/>
    <w:rsid w:val="001B480F"/>
    <w:rsid w:val="001B4F15"/>
    <w:rsid w:val="001F3082"/>
    <w:rsid w:val="002020A6"/>
    <w:rsid w:val="00204B6A"/>
    <w:rsid w:val="00223285"/>
    <w:rsid w:val="002353A0"/>
    <w:rsid w:val="00241290"/>
    <w:rsid w:val="002769A7"/>
    <w:rsid w:val="002922BF"/>
    <w:rsid w:val="002B1BD7"/>
    <w:rsid w:val="002D19FB"/>
    <w:rsid w:val="002E3C43"/>
    <w:rsid w:val="002F482E"/>
    <w:rsid w:val="00310F01"/>
    <w:rsid w:val="003132CB"/>
    <w:rsid w:val="003253F1"/>
    <w:rsid w:val="00332BE6"/>
    <w:rsid w:val="00352EC5"/>
    <w:rsid w:val="00361D91"/>
    <w:rsid w:val="00370F9E"/>
    <w:rsid w:val="003776A6"/>
    <w:rsid w:val="00383DF9"/>
    <w:rsid w:val="00387194"/>
    <w:rsid w:val="003E3E14"/>
    <w:rsid w:val="003F00A3"/>
    <w:rsid w:val="004077AF"/>
    <w:rsid w:val="004155CB"/>
    <w:rsid w:val="00415D94"/>
    <w:rsid w:val="00431888"/>
    <w:rsid w:val="0044045F"/>
    <w:rsid w:val="004456A9"/>
    <w:rsid w:val="00492089"/>
    <w:rsid w:val="00495A0B"/>
    <w:rsid w:val="00497DCF"/>
    <w:rsid w:val="004A48D9"/>
    <w:rsid w:val="004B3DFA"/>
    <w:rsid w:val="004B4944"/>
    <w:rsid w:val="004E49FC"/>
    <w:rsid w:val="004F69BE"/>
    <w:rsid w:val="00515E42"/>
    <w:rsid w:val="00521474"/>
    <w:rsid w:val="0054796C"/>
    <w:rsid w:val="00553103"/>
    <w:rsid w:val="0055366A"/>
    <w:rsid w:val="00555CE1"/>
    <w:rsid w:val="00557360"/>
    <w:rsid w:val="00557869"/>
    <w:rsid w:val="00566589"/>
    <w:rsid w:val="00574DC1"/>
    <w:rsid w:val="0059315E"/>
    <w:rsid w:val="005A1F36"/>
    <w:rsid w:val="005A2FF5"/>
    <w:rsid w:val="005A6315"/>
    <w:rsid w:val="005F6D9D"/>
    <w:rsid w:val="006273A2"/>
    <w:rsid w:val="00641C1F"/>
    <w:rsid w:val="00650B25"/>
    <w:rsid w:val="00654730"/>
    <w:rsid w:val="00654AE2"/>
    <w:rsid w:val="00655D80"/>
    <w:rsid w:val="00671E07"/>
    <w:rsid w:val="006734CB"/>
    <w:rsid w:val="006A4183"/>
    <w:rsid w:val="006C5A63"/>
    <w:rsid w:val="006C68EB"/>
    <w:rsid w:val="0070435E"/>
    <w:rsid w:val="0072112E"/>
    <w:rsid w:val="00753DD6"/>
    <w:rsid w:val="007716D8"/>
    <w:rsid w:val="0077264A"/>
    <w:rsid w:val="007762A8"/>
    <w:rsid w:val="007D6B6D"/>
    <w:rsid w:val="007E32A1"/>
    <w:rsid w:val="007E7433"/>
    <w:rsid w:val="007F511F"/>
    <w:rsid w:val="00801AF1"/>
    <w:rsid w:val="00802206"/>
    <w:rsid w:val="00810093"/>
    <w:rsid w:val="00822E55"/>
    <w:rsid w:val="00832C46"/>
    <w:rsid w:val="0085613F"/>
    <w:rsid w:val="0086415E"/>
    <w:rsid w:val="0087597C"/>
    <w:rsid w:val="00877B9B"/>
    <w:rsid w:val="00896B21"/>
    <w:rsid w:val="008D39AB"/>
    <w:rsid w:val="008D57E3"/>
    <w:rsid w:val="008F36C2"/>
    <w:rsid w:val="008F3992"/>
    <w:rsid w:val="00914C7A"/>
    <w:rsid w:val="009323FB"/>
    <w:rsid w:val="00937949"/>
    <w:rsid w:val="00943189"/>
    <w:rsid w:val="00961BE6"/>
    <w:rsid w:val="009761B9"/>
    <w:rsid w:val="00985A2C"/>
    <w:rsid w:val="00987050"/>
    <w:rsid w:val="009C3EFC"/>
    <w:rsid w:val="009D4124"/>
    <w:rsid w:val="009F0323"/>
    <w:rsid w:val="009F7181"/>
    <w:rsid w:val="00A035F9"/>
    <w:rsid w:val="00A144E3"/>
    <w:rsid w:val="00A250A4"/>
    <w:rsid w:val="00A66B4E"/>
    <w:rsid w:val="00A67B8C"/>
    <w:rsid w:val="00A73F06"/>
    <w:rsid w:val="00A85F63"/>
    <w:rsid w:val="00A8719C"/>
    <w:rsid w:val="00A921DC"/>
    <w:rsid w:val="00AA22D5"/>
    <w:rsid w:val="00AA2D21"/>
    <w:rsid w:val="00AA3B5E"/>
    <w:rsid w:val="00AB520C"/>
    <w:rsid w:val="00AC1297"/>
    <w:rsid w:val="00AE0DB5"/>
    <w:rsid w:val="00AF1B9A"/>
    <w:rsid w:val="00AF2AA5"/>
    <w:rsid w:val="00AF541E"/>
    <w:rsid w:val="00B03D00"/>
    <w:rsid w:val="00B135C7"/>
    <w:rsid w:val="00B23165"/>
    <w:rsid w:val="00B314AB"/>
    <w:rsid w:val="00B5505F"/>
    <w:rsid w:val="00B72247"/>
    <w:rsid w:val="00B923E9"/>
    <w:rsid w:val="00BA06FC"/>
    <w:rsid w:val="00BA7286"/>
    <w:rsid w:val="00BB219A"/>
    <w:rsid w:val="00BB7B98"/>
    <w:rsid w:val="00BF19CC"/>
    <w:rsid w:val="00C10605"/>
    <w:rsid w:val="00C11F99"/>
    <w:rsid w:val="00C123D6"/>
    <w:rsid w:val="00C22F77"/>
    <w:rsid w:val="00C46110"/>
    <w:rsid w:val="00C46245"/>
    <w:rsid w:val="00C5399D"/>
    <w:rsid w:val="00C56772"/>
    <w:rsid w:val="00C8557B"/>
    <w:rsid w:val="00C874E3"/>
    <w:rsid w:val="00C94F8B"/>
    <w:rsid w:val="00C96CE6"/>
    <w:rsid w:val="00CC648B"/>
    <w:rsid w:val="00CD08C5"/>
    <w:rsid w:val="00CD37FF"/>
    <w:rsid w:val="00CD5D3E"/>
    <w:rsid w:val="00CF5ABB"/>
    <w:rsid w:val="00D12D6B"/>
    <w:rsid w:val="00D150C4"/>
    <w:rsid w:val="00D56528"/>
    <w:rsid w:val="00D65AA5"/>
    <w:rsid w:val="00D6726D"/>
    <w:rsid w:val="00D77C1F"/>
    <w:rsid w:val="00D96F33"/>
    <w:rsid w:val="00DB158D"/>
    <w:rsid w:val="00DB61AE"/>
    <w:rsid w:val="00DC2C05"/>
    <w:rsid w:val="00DC4766"/>
    <w:rsid w:val="00DE1E0B"/>
    <w:rsid w:val="00DE2FA8"/>
    <w:rsid w:val="00DE6119"/>
    <w:rsid w:val="00DF35C9"/>
    <w:rsid w:val="00E2394C"/>
    <w:rsid w:val="00E403F6"/>
    <w:rsid w:val="00E570BA"/>
    <w:rsid w:val="00E65044"/>
    <w:rsid w:val="00E65C0B"/>
    <w:rsid w:val="00E90094"/>
    <w:rsid w:val="00E905BE"/>
    <w:rsid w:val="00E92721"/>
    <w:rsid w:val="00E95B4D"/>
    <w:rsid w:val="00EB367C"/>
    <w:rsid w:val="00EC2309"/>
    <w:rsid w:val="00EC77CA"/>
    <w:rsid w:val="00F0789D"/>
    <w:rsid w:val="00F174C4"/>
    <w:rsid w:val="00F17B77"/>
    <w:rsid w:val="00F34DB8"/>
    <w:rsid w:val="00F6582E"/>
    <w:rsid w:val="00F76A73"/>
    <w:rsid w:val="00F76CF8"/>
    <w:rsid w:val="00FA3C56"/>
    <w:rsid w:val="00FB1BA0"/>
    <w:rsid w:val="00FB78AF"/>
    <w:rsid w:val="00FF3D15"/>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39"/>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154C39"/>
    <w:rPr>
      <w:b/>
      <w:bCs/>
      <w:sz w:val="20"/>
      <w:szCs w:val="20"/>
    </w:rPr>
  </w:style>
  <w:style w:type="paragraph" w:customStyle="1" w:styleId="Authornames">
    <w:name w:val="Author names"/>
    <w:basedOn w:val="Normal"/>
    <w:next w:val="Normal"/>
    <w:qFormat/>
    <w:rsid w:val="00154C39"/>
    <w:pPr>
      <w:spacing w:before="240" w:after="0" w:line="360" w:lineRule="auto"/>
    </w:pPr>
    <w:rPr>
      <w:rFonts w:ascii="Times New Roman" w:hAnsi="Times New Roman"/>
      <w:sz w:val="28"/>
      <w:szCs w:val="24"/>
      <w:lang w:val="en-GB" w:eastAsia="en-GB"/>
    </w:rPr>
  </w:style>
  <w:style w:type="paragraph" w:customStyle="1" w:styleId="Affiliation">
    <w:name w:val="Affiliation"/>
    <w:basedOn w:val="Normal"/>
    <w:qFormat/>
    <w:rsid w:val="00154C39"/>
    <w:pPr>
      <w:spacing w:before="240" w:after="0" w:line="360" w:lineRule="auto"/>
    </w:pPr>
    <w:rPr>
      <w:rFonts w:ascii="Times New Roman" w:hAnsi="Times New Roman"/>
      <w:i/>
      <w:sz w:val="24"/>
      <w:szCs w:val="24"/>
      <w:lang w:val="en-GB" w:eastAsia="en-GB"/>
    </w:rPr>
  </w:style>
  <w:style w:type="character" w:styleId="Kpr">
    <w:name w:val="Hyperlink"/>
    <w:basedOn w:val="VarsaylanParagrafYazTipi"/>
    <w:uiPriority w:val="99"/>
    <w:unhideWhenUsed/>
    <w:rsid w:val="00154C39"/>
    <w:rPr>
      <w:rFonts w:cs="Times New Roman"/>
      <w:color w:val="0000FF"/>
      <w:u w:val="single"/>
    </w:rPr>
  </w:style>
  <w:style w:type="paragraph" w:styleId="stbilgi">
    <w:name w:val="header"/>
    <w:basedOn w:val="Normal"/>
    <w:link w:val="stbilgiChar"/>
    <w:uiPriority w:val="99"/>
    <w:unhideWhenUsed/>
    <w:rsid w:val="00154C39"/>
    <w:pPr>
      <w:tabs>
        <w:tab w:val="center" w:pos="4536"/>
        <w:tab w:val="right" w:pos="9072"/>
      </w:tabs>
    </w:pPr>
  </w:style>
  <w:style w:type="character" w:customStyle="1" w:styleId="stbilgiChar">
    <w:name w:val="Üstbilgi Char"/>
    <w:basedOn w:val="VarsaylanParagrafYazTipi"/>
    <w:link w:val="stbilgi"/>
    <w:uiPriority w:val="99"/>
    <w:rsid w:val="00154C39"/>
    <w:rPr>
      <w:rFonts w:eastAsiaTheme="minorEastAsia" w:cs="Times New Roman"/>
      <w:lang w:eastAsia="tr-TR"/>
    </w:rPr>
  </w:style>
  <w:style w:type="paragraph" w:styleId="Altbilgi">
    <w:name w:val="footer"/>
    <w:basedOn w:val="Normal"/>
    <w:link w:val="AltbilgiChar"/>
    <w:uiPriority w:val="99"/>
    <w:unhideWhenUsed/>
    <w:rsid w:val="00154C39"/>
    <w:pPr>
      <w:tabs>
        <w:tab w:val="center" w:pos="4536"/>
        <w:tab w:val="right" w:pos="9072"/>
      </w:tabs>
    </w:pPr>
  </w:style>
  <w:style w:type="character" w:customStyle="1" w:styleId="AltbilgiChar">
    <w:name w:val="Altbilgi Char"/>
    <w:basedOn w:val="VarsaylanParagrafYazTipi"/>
    <w:link w:val="Altbilgi"/>
    <w:uiPriority w:val="99"/>
    <w:rsid w:val="00154C39"/>
    <w:rPr>
      <w:rFonts w:eastAsiaTheme="minorEastAsia" w:cs="Times New Roman"/>
      <w:lang w:eastAsia="tr-TR"/>
    </w:rPr>
  </w:style>
  <w:style w:type="paragraph" w:styleId="BalonMetni">
    <w:name w:val="Balloon Text"/>
    <w:basedOn w:val="Normal"/>
    <w:link w:val="BalonMetniChar"/>
    <w:uiPriority w:val="99"/>
    <w:semiHidden/>
    <w:unhideWhenUsed/>
    <w:rsid w:val="002769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69A7"/>
    <w:rPr>
      <w:rFonts w:ascii="Segoe UI" w:eastAsiaTheme="minorEastAsia" w:hAnsi="Segoe UI" w:cs="Segoe UI"/>
      <w:sz w:val="18"/>
      <w:szCs w:val="18"/>
      <w:lang w:eastAsia="tr-TR"/>
    </w:rPr>
  </w:style>
  <w:style w:type="character" w:styleId="Gl">
    <w:name w:val="Strong"/>
    <w:basedOn w:val="VarsaylanParagrafYazTipi"/>
    <w:uiPriority w:val="22"/>
    <w:qFormat/>
    <w:rsid w:val="00C46245"/>
    <w:rPr>
      <w:b/>
      <w:bCs/>
    </w:rPr>
  </w:style>
  <w:style w:type="paragraph" w:customStyle="1" w:styleId="p">
    <w:name w:val="p"/>
    <w:basedOn w:val="Normal"/>
    <w:rsid w:val="00010D15"/>
    <w:pPr>
      <w:spacing w:before="100" w:beforeAutospacing="1" w:after="100" w:afterAutospacing="1" w:line="240" w:lineRule="auto"/>
    </w:pPr>
    <w:rPr>
      <w:rFonts w:ascii="Times New Roman" w:eastAsia="Times New Roman" w:hAnsi="Times New Roman"/>
      <w:sz w:val="24"/>
      <w:szCs w:val="24"/>
    </w:rPr>
  </w:style>
  <w:style w:type="character" w:styleId="SatrNumaras">
    <w:name w:val="line number"/>
    <w:basedOn w:val="VarsaylanParagrafYazTipi"/>
    <w:uiPriority w:val="99"/>
    <w:semiHidden/>
    <w:unhideWhenUsed/>
    <w:rsid w:val="00AA3B5E"/>
  </w:style>
  <w:style w:type="paragraph" w:styleId="ListeParagraf">
    <w:name w:val="List Paragraph"/>
    <w:basedOn w:val="Normal"/>
    <w:uiPriority w:val="34"/>
    <w:qFormat/>
    <w:rsid w:val="00654AE2"/>
    <w:pPr>
      <w:ind w:left="720"/>
      <w:contextualSpacing/>
    </w:pPr>
  </w:style>
  <w:style w:type="paragraph" w:customStyle="1" w:styleId="a">
    <w:name w:val="바탕글"/>
    <w:rsid w:val="00961BE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76" w:lineRule="auto"/>
      <w:jc w:val="both"/>
    </w:pPr>
    <w:rPr>
      <w:rFonts w:ascii="BatangChe" w:eastAsia="BatangChe" w:hAnsi="Times New Roman" w:cs="Times New Roman"/>
      <w:color w:val="000000"/>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39"/>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154C39"/>
    <w:rPr>
      <w:b/>
      <w:bCs/>
      <w:sz w:val="20"/>
      <w:szCs w:val="20"/>
    </w:rPr>
  </w:style>
  <w:style w:type="paragraph" w:customStyle="1" w:styleId="Authornames">
    <w:name w:val="Author names"/>
    <w:basedOn w:val="Normal"/>
    <w:next w:val="Normal"/>
    <w:qFormat/>
    <w:rsid w:val="00154C39"/>
    <w:pPr>
      <w:spacing w:before="240" w:after="0" w:line="360" w:lineRule="auto"/>
    </w:pPr>
    <w:rPr>
      <w:rFonts w:ascii="Times New Roman" w:hAnsi="Times New Roman"/>
      <w:sz w:val="28"/>
      <w:szCs w:val="24"/>
      <w:lang w:val="en-GB" w:eastAsia="en-GB"/>
    </w:rPr>
  </w:style>
  <w:style w:type="paragraph" w:customStyle="1" w:styleId="Affiliation">
    <w:name w:val="Affiliation"/>
    <w:basedOn w:val="Normal"/>
    <w:qFormat/>
    <w:rsid w:val="00154C39"/>
    <w:pPr>
      <w:spacing w:before="240" w:after="0" w:line="360" w:lineRule="auto"/>
    </w:pPr>
    <w:rPr>
      <w:rFonts w:ascii="Times New Roman" w:hAnsi="Times New Roman"/>
      <w:i/>
      <w:sz w:val="24"/>
      <w:szCs w:val="24"/>
      <w:lang w:val="en-GB" w:eastAsia="en-GB"/>
    </w:rPr>
  </w:style>
  <w:style w:type="character" w:styleId="Kpr">
    <w:name w:val="Hyperlink"/>
    <w:basedOn w:val="VarsaylanParagrafYazTipi"/>
    <w:uiPriority w:val="99"/>
    <w:unhideWhenUsed/>
    <w:rsid w:val="00154C39"/>
    <w:rPr>
      <w:rFonts w:cs="Times New Roman"/>
      <w:color w:val="0000FF"/>
      <w:u w:val="single"/>
    </w:rPr>
  </w:style>
  <w:style w:type="paragraph" w:styleId="stbilgi">
    <w:name w:val="header"/>
    <w:basedOn w:val="Normal"/>
    <w:link w:val="stbilgiChar"/>
    <w:uiPriority w:val="99"/>
    <w:unhideWhenUsed/>
    <w:rsid w:val="00154C39"/>
    <w:pPr>
      <w:tabs>
        <w:tab w:val="center" w:pos="4536"/>
        <w:tab w:val="right" w:pos="9072"/>
      </w:tabs>
    </w:pPr>
  </w:style>
  <w:style w:type="character" w:customStyle="1" w:styleId="stbilgiChar">
    <w:name w:val="Üstbilgi Char"/>
    <w:basedOn w:val="VarsaylanParagrafYazTipi"/>
    <w:link w:val="stbilgi"/>
    <w:uiPriority w:val="99"/>
    <w:rsid w:val="00154C39"/>
    <w:rPr>
      <w:rFonts w:eastAsiaTheme="minorEastAsia" w:cs="Times New Roman"/>
      <w:lang w:eastAsia="tr-TR"/>
    </w:rPr>
  </w:style>
  <w:style w:type="paragraph" w:styleId="Altbilgi">
    <w:name w:val="footer"/>
    <w:basedOn w:val="Normal"/>
    <w:link w:val="AltbilgiChar"/>
    <w:uiPriority w:val="99"/>
    <w:unhideWhenUsed/>
    <w:rsid w:val="00154C39"/>
    <w:pPr>
      <w:tabs>
        <w:tab w:val="center" w:pos="4536"/>
        <w:tab w:val="right" w:pos="9072"/>
      </w:tabs>
    </w:pPr>
  </w:style>
  <w:style w:type="character" w:customStyle="1" w:styleId="AltbilgiChar">
    <w:name w:val="Altbilgi Char"/>
    <w:basedOn w:val="VarsaylanParagrafYazTipi"/>
    <w:link w:val="Altbilgi"/>
    <w:uiPriority w:val="99"/>
    <w:rsid w:val="00154C39"/>
    <w:rPr>
      <w:rFonts w:eastAsiaTheme="minorEastAsia" w:cs="Times New Roman"/>
      <w:lang w:eastAsia="tr-TR"/>
    </w:rPr>
  </w:style>
  <w:style w:type="paragraph" w:styleId="BalonMetni">
    <w:name w:val="Balloon Text"/>
    <w:basedOn w:val="Normal"/>
    <w:link w:val="BalonMetniChar"/>
    <w:uiPriority w:val="99"/>
    <w:semiHidden/>
    <w:unhideWhenUsed/>
    <w:rsid w:val="002769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69A7"/>
    <w:rPr>
      <w:rFonts w:ascii="Segoe UI" w:eastAsiaTheme="minorEastAsia" w:hAnsi="Segoe UI" w:cs="Segoe UI"/>
      <w:sz w:val="18"/>
      <w:szCs w:val="18"/>
      <w:lang w:eastAsia="tr-TR"/>
    </w:rPr>
  </w:style>
  <w:style w:type="character" w:styleId="Gl">
    <w:name w:val="Strong"/>
    <w:basedOn w:val="VarsaylanParagrafYazTipi"/>
    <w:uiPriority w:val="22"/>
    <w:qFormat/>
    <w:rsid w:val="00C46245"/>
    <w:rPr>
      <w:b/>
      <w:bCs/>
    </w:rPr>
  </w:style>
  <w:style w:type="paragraph" w:customStyle="1" w:styleId="p">
    <w:name w:val="p"/>
    <w:basedOn w:val="Normal"/>
    <w:rsid w:val="00010D15"/>
    <w:pPr>
      <w:spacing w:before="100" w:beforeAutospacing="1" w:after="100" w:afterAutospacing="1" w:line="240" w:lineRule="auto"/>
    </w:pPr>
    <w:rPr>
      <w:rFonts w:ascii="Times New Roman" w:eastAsia="Times New Roman" w:hAnsi="Times New Roman"/>
      <w:sz w:val="24"/>
      <w:szCs w:val="24"/>
    </w:rPr>
  </w:style>
  <w:style w:type="character" w:styleId="SatrNumaras">
    <w:name w:val="line number"/>
    <w:basedOn w:val="VarsaylanParagrafYazTipi"/>
    <w:uiPriority w:val="99"/>
    <w:semiHidden/>
    <w:unhideWhenUsed/>
    <w:rsid w:val="00AA3B5E"/>
  </w:style>
  <w:style w:type="paragraph" w:styleId="ListeParagraf">
    <w:name w:val="List Paragraph"/>
    <w:basedOn w:val="Normal"/>
    <w:uiPriority w:val="34"/>
    <w:qFormat/>
    <w:rsid w:val="00654AE2"/>
    <w:pPr>
      <w:ind w:left="720"/>
      <w:contextualSpacing/>
    </w:pPr>
  </w:style>
  <w:style w:type="paragraph" w:customStyle="1" w:styleId="a">
    <w:name w:val="바탕글"/>
    <w:rsid w:val="00961BE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76" w:lineRule="auto"/>
      <w:jc w:val="both"/>
    </w:pPr>
    <w:rPr>
      <w:rFonts w:ascii="BatangChe" w:eastAsia="BatangChe" w:hAnsi="Times New Roman" w:cs="Times New Roman"/>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1894">
      <w:bodyDiv w:val="1"/>
      <w:marLeft w:val="0"/>
      <w:marRight w:val="0"/>
      <w:marTop w:val="0"/>
      <w:marBottom w:val="0"/>
      <w:divBdr>
        <w:top w:val="none" w:sz="0" w:space="0" w:color="auto"/>
        <w:left w:val="none" w:sz="0" w:space="0" w:color="auto"/>
        <w:bottom w:val="none" w:sz="0" w:space="0" w:color="auto"/>
        <w:right w:val="none" w:sz="0" w:space="0" w:color="auto"/>
      </w:divBdr>
    </w:div>
    <w:div w:id="275867806">
      <w:bodyDiv w:val="1"/>
      <w:marLeft w:val="0"/>
      <w:marRight w:val="0"/>
      <w:marTop w:val="0"/>
      <w:marBottom w:val="0"/>
      <w:divBdr>
        <w:top w:val="none" w:sz="0" w:space="0" w:color="auto"/>
        <w:left w:val="none" w:sz="0" w:space="0" w:color="auto"/>
        <w:bottom w:val="none" w:sz="0" w:space="0" w:color="auto"/>
        <w:right w:val="none" w:sz="0" w:space="0" w:color="auto"/>
      </w:divBdr>
    </w:div>
    <w:div w:id="854344804">
      <w:bodyDiv w:val="1"/>
      <w:marLeft w:val="0"/>
      <w:marRight w:val="0"/>
      <w:marTop w:val="0"/>
      <w:marBottom w:val="0"/>
      <w:divBdr>
        <w:top w:val="none" w:sz="0" w:space="0" w:color="auto"/>
        <w:left w:val="none" w:sz="0" w:space="0" w:color="auto"/>
        <w:bottom w:val="none" w:sz="0" w:space="0" w:color="auto"/>
        <w:right w:val="none" w:sz="0" w:space="0" w:color="auto"/>
      </w:divBdr>
    </w:div>
    <w:div w:id="156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0673-D61C-4F3F-978F-66155F47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3060</Words>
  <Characters>17443</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2020-10-02T11:30:00Z</dcterms:created>
  <dcterms:modified xsi:type="dcterms:W3CDTF">2024-04-22T13:13:00Z</dcterms:modified>
</cp:coreProperties>
</file>