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82E0" w14:textId="77777777" w:rsidR="000D2FC5" w:rsidRPr="00697CF0" w:rsidRDefault="000D2FC5" w:rsidP="000D2FC5">
      <w:pPr>
        <w:rPr>
          <w:rFonts w:ascii="Times" w:hAnsi="Times"/>
          <w:b/>
          <w:bCs/>
          <w:color w:val="0E101A"/>
          <w:sz w:val="27"/>
          <w:szCs w:val="27"/>
          <w:lang w:eastAsia="ko-KR"/>
        </w:rPr>
      </w:pPr>
      <w:r w:rsidRPr="00697CF0">
        <w:rPr>
          <w:rFonts w:ascii="Times" w:hAnsi="Times"/>
          <w:b/>
          <w:bCs/>
          <w:color w:val="0E101A"/>
          <w:sz w:val="27"/>
          <w:szCs w:val="27"/>
          <w:lang w:eastAsia="ko-KR"/>
        </w:rPr>
        <w:t>Contemporary Review of Barriers and Methods to Fostering Academic Urologists</w:t>
      </w:r>
    </w:p>
    <w:p w14:paraId="6B39A583" w14:textId="77777777" w:rsidR="000D2FC5" w:rsidRPr="00FE5EC6" w:rsidRDefault="000D2FC5" w:rsidP="000D2FC5">
      <w:pPr>
        <w:spacing w:line="360" w:lineRule="auto"/>
        <w:rPr>
          <w:rFonts w:ascii="Times" w:hAnsi="Times"/>
        </w:rPr>
      </w:pPr>
    </w:p>
    <w:p w14:paraId="1D8F8023" w14:textId="77777777" w:rsidR="000D2FC5" w:rsidRPr="00FE5EC6" w:rsidRDefault="000D2FC5" w:rsidP="000D2FC5">
      <w:pPr>
        <w:spacing w:line="360" w:lineRule="auto"/>
        <w:rPr>
          <w:rFonts w:ascii="Times" w:hAnsi="Times"/>
        </w:rPr>
      </w:pPr>
      <w:r w:rsidRPr="00FE5EC6">
        <w:rPr>
          <w:rFonts w:ascii="Times" w:hAnsi="Times"/>
        </w:rPr>
        <w:t>Fumihiko Nakamura</w:t>
      </w:r>
      <w:r w:rsidRPr="00FE5EC6">
        <w:rPr>
          <w:rFonts w:ascii="Times" w:hAnsi="Times"/>
          <w:vertAlign w:val="superscript"/>
        </w:rPr>
        <w:t>1</w:t>
      </w:r>
      <w:r w:rsidRPr="00FE5EC6">
        <w:rPr>
          <w:rFonts w:ascii="Times" w:hAnsi="Times"/>
        </w:rPr>
        <w:t>, Crystal L. Valadon</w:t>
      </w:r>
      <w:r w:rsidRPr="00FE5EC6">
        <w:rPr>
          <w:rFonts w:ascii="Times" w:hAnsi="Times"/>
          <w:vertAlign w:val="superscript"/>
        </w:rPr>
        <w:t>1</w:t>
      </w:r>
      <w:r w:rsidRPr="00FE5EC6">
        <w:rPr>
          <w:rFonts w:ascii="Times" w:hAnsi="Times"/>
        </w:rPr>
        <w:t>, Zebulun Cope</w:t>
      </w:r>
      <w:r w:rsidRPr="00FE5EC6">
        <w:rPr>
          <w:rFonts w:ascii="Times" w:hAnsi="Times"/>
          <w:vertAlign w:val="superscript"/>
        </w:rPr>
        <w:t>2</w:t>
      </w:r>
      <w:r w:rsidRPr="00FE5EC6">
        <w:rPr>
          <w:rFonts w:ascii="Times" w:hAnsi="Times"/>
        </w:rPr>
        <w:t>, Sriharsha Talluri</w:t>
      </w:r>
      <w:r w:rsidRPr="00FE5EC6">
        <w:rPr>
          <w:rFonts w:ascii="Times" w:hAnsi="Times"/>
          <w:vertAlign w:val="superscript"/>
        </w:rPr>
        <w:t>3</w:t>
      </w:r>
      <w:r w:rsidRPr="00FE5EC6">
        <w:rPr>
          <w:rFonts w:ascii="Times" w:hAnsi="Times"/>
        </w:rPr>
        <w:t>, Murali K. Ankem</w:t>
      </w:r>
      <w:r w:rsidRPr="00FE5EC6">
        <w:rPr>
          <w:rFonts w:ascii="Times" w:hAnsi="Times"/>
          <w:vertAlign w:val="superscript"/>
        </w:rPr>
        <w:t>3</w:t>
      </w:r>
      <w:r w:rsidRPr="00FE5EC6">
        <w:rPr>
          <w:rFonts w:ascii="Times" w:hAnsi="Times"/>
        </w:rPr>
        <w:t>, Ajah Chandler</w:t>
      </w:r>
      <w:r w:rsidRPr="00FE5EC6">
        <w:rPr>
          <w:rFonts w:ascii="Times" w:hAnsi="Times"/>
          <w:vertAlign w:val="superscript"/>
        </w:rPr>
        <w:t>4</w:t>
      </w:r>
      <w:r w:rsidRPr="00FE5EC6">
        <w:rPr>
          <w:rFonts w:ascii="Times" w:hAnsi="Times"/>
        </w:rPr>
        <w:t>, Kellen Choi</w:t>
      </w:r>
      <w:r w:rsidRPr="00FE5EC6">
        <w:rPr>
          <w:rFonts w:ascii="Times" w:hAnsi="Times"/>
          <w:vertAlign w:val="superscript"/>
        </w:rPr>
        <w:t>5</w:t>
      </w:r>
    </w:p>
    <w:p w14:paraId="253387C6" w14:textId="77777777" w:rsidR="000D2FC5" w:rsidRPr="00FE5EC6" w:rsidRDefault="000D2FC5" w:rsidP="000D2FC5">
      <w:pPr>
        <w:spacing w:line="360" w:lineRule="auto"/>
        <w:rPr>
          <w:rFonts w:ascii="Times" w:hAnsi="Times"/>
        </w:rPr>
      </w:pPr>
    </w:p>
    <w:p w14:paraId="44EC6E3A" w14:textId="77777777" w:rsidR="000D2FC5" w:rsidRPr="0044705D" w:rsidRDefault="000D2FC5" w:rsidP="000D2FC5">
      <w:pPr>
        <w:pStyle w:val="NormalWeb"/>
        <w:rPr>
          <w:color w:val="000000"/>
        </w:rPr>
      </w:pPr>
      <w:r>
        <w:rPr>
          <w:rFonts w:ascii="Times" w:hAnsi="Times"/>
          <w:vertAlign w:val="superscript"/>
        </w:rPr>
        <w:t xml:space="preserve">1 </w:t>
      </w:r>
      <w:r w:rsidRPr="00FE5EC6">
        <w:rPr>
          <w:rFonts w:ascii="Times" w:hAnsi="Times"/>
        </w:rPr>
        <w:t>University of Louisville School of Medicine</w:t>
      </w:r>
      <w:r w:rsidRPr="00FC69C2">
        <w:rPr>
          <w:color w:val="000000"/>
        </w:rPr>
        <w:t>, Louisville, KY, USA</w:t>
      </w:r>
    </w:p>
    <w:p w14:paraId="3D4D82DC" w14:textId="77777777" w:rsidR="000D2FC5" w:rsidRPr="0044705D" w:rsidRDefault="000D2FC5" w:rsidP="000D2FC5">
      <w:pPr>
        <w:pStyle w:val="NormalWeb"/>
        <w:rPr>
          <w:color w:val="000000"/>
        </w:rPr>
      </w:pPr>
      <w:r>
        <w:rPr>
          <w:rFonts w:ascii="Times" w:hAnsi="Times"/>
          <w:vertAlign w:val="superscript"/>
        </w:rPr>
        <w:t xml:space="preserve">2 </w:t>
      </w:r>
      <w:r w:rsidRPr="00FE5EC6">
        <w:rPr>
          <w:rFonts w:ascii="Times" w:hAnsi="Times"/>
        </w:rPr>
        <w:t>University of Louisville Department of Obstetrics and Gynecology - Division of Female Pelvic Medicine &amp; Reconstructive Surgery</w:t>
      </w:r>
      <w:r w:rsidRPr="00FC69C2">
        <w:rPr>
          <w:color w:val="000000"/>
        </w:rPr>
        <w:t>, Louisville, KY, USA</w:t>
      </w:r>
    </w:p>
    <w:p w14:paraId="61A1F8F4" w14:textId="77777777" w:rsidR="000D2FC5" w:rsidRPr="0044705D" w:rsidRDefault="000D2FC5" w:rsidP="000D2FC5">
      <w:pPr>
        <w:pStyle w:val="NormalWeb"/>
        <w:rPr>
          <w:color w:val="000000"/>
        </w:rPr>
      </w:pPr>
      <w:r>
        <w:rPr>
          <w:rFonts w:ascii="Times" w:hAnsi="Times"/>
          <w:vertAlign w:val="superscript"/>
        </w:rPr>
        <w:t xml:space="preserve">3 </w:t>
      </w:r>
      <w:r w:rsidRPr="00FE5EC6">
        <w:rPr>
          <w:rFonts w:ascii="Times" w:hAnsi="Times"/>
        </w:rPr>
        <w:t>University of Louisville Department of Urology</w:t>
      </w:r>
      <w:r w:rsidRPr="00FC69C2">
        <w:rPr>
          <w:color w:val="000000"/>
        </w:rPr>
        <w:t>, Louisville, KY, US</w:t>
      </w:r>
      <w:r>
        <w:rPr>
          <w:color w:val="000000"/>
        </w:rPr>
        <w:t>A</w:t>
      </w:r>
    </w:p>
    <w:p w14:paraId="1DD889FA" w14:textId="77777777" w:rsidR="000D2FC5" w:rsidRPr="00FE5EC6" w:rsidRDefault="000D2FC5" w:rsidP="000D2FC5">
      <w:pPr>
        <w:spacing w:before="100" w:beforeAutospacing="1" w:after="100" w:afterAutospacing="1"/>
        <w:rPr>
          <w:rFonts w:ascii="Times" w:hAnsi="Times"/>
        </w:rPr>
      </w:pPr>
      <w:r>
        <w:rPr>
          <w:rFonts w:ascii="Times" w:hAnsi="Times"/>
          <w:vertAlign w:val="superscript"/>
        </w:rPr>
        <w:t xml:space="preserve">4 </w:t>
      </w:r>
      <w:r w:rsidRPr="00FE5EC6">
        <w:rPr>
          <w:rFonts w:ascii="Times" w:hAnsi="Times"/>
        </w:rPr>
        <w:t>Michigan State University College of Human Medicine</w:t>
      </w:r>
      <w:r>
        <w:rPr>
          <w:rFonts w:ascii="Times" w:hAnsi="Times"/>
        </w:rPr>
        <w:t>, East Lansing, MI, USA</w:t>
      </w:r>
    </w:p>
    <w:p w14:paraId="1731ED6D" w14:textId="77777777" w:rsidR="000D2FC5" w:rsidRPr="0044705D" w:rsidRDefault="000D2FC5" w:rsidP="000D2FC5">
      <w:pPr>
        <w:pStyle w:val="NormalWeb"/>
        <w:rPr>
          <w:color w:val="000000"/>
        </w:rPr>
      </w:pPr>
      <w:r w:rsidRPr="00FE5EC6">
        <w:rPr>
          <w:rFonts w:ascii="Times" w:hAnsi="Times"/>
          <w:vertAlign w:val="superscript"/>
        </w:rPr>
        <w:t>5</w:t>
      </w:r>
      <w:r>
        <w:rPr>
          <w:rFonts w:ascii="Times" w:hAnsi="Times"/>
          <w:vertAlign w:val="superscript"/>
        </w:rPr>
        <w:t xml:space="preserve"> </w:t>
      </w:r>
      <w:r w:rsidRPr="00FE5EC6">
        <w:rPr>
          <w:rFonts w:ascii="Times" w:hAnsi="Times"/>
        </w:rPr>
        <w:t>University of Louisville Department of Urology</w:t>
      </w:r>
      <w:r>
        <w:rPr>
          <w:rFonts w:ascii="Times" w:hAnsi="Times"/>
        </w:rPr>
        <w:t xml:space="preserve"> </w:t>
      </w:r>
      <w:r w:rsidRPr="00FE5EC6">
        <w:rPr>
          <w:rFonts w:ascii="Times" w:hAnsi="Times"/>
        </w:rPr>
        <w:t>-</w:t>
      </w:r>
      <w:r>
        <w:rPr>
          <w:rFonts w:ascii="Times" w:hAnsi="Times"/>
        </w:rPr>
        <w:t xml:space="preserve"> </w:t>
      </w:r>
      <w:r w:rsidRPr="00FE5EC6">
        <w:rPr>
          <w:rFonts w:ascii="Times" w:hAnsi="Times"/>
        </w:rPr>
        <w:t>Division of Female Urology</w:t>
      </w:r>
      <w:r w:rsidRPr="00FC69C2">
        <w:rPr>
          <w:color w:val="000000"/>
        </w:rPr>
        <w:t>, Louisville, KY, USA</w:t>
      </w:r>
    </w:p>
    <w:p w14:paraId="716E2B83" w14:textId="77777777" w:rsidR="000D2FC5" w:rsidRPr="00FE5EC6" w:rsidRDefault="000D2FC5" w:rsidP="000D2FC5">
      <w:pPr>
        <w:spacing w:line="360" w:lineRule="auto"/>
        <w:rPr>
          <w:rFonts w:ascii="Times" w:hAnsi="Times"/>
        </w:rPr>
      </w:pPr>
    </w:p>
    <w:p w14:paraId="2A883448" w14:textId="77777777" w:rsidR="000D2FC5" w:rsidRPr="00FE5EC6" w:rsidRDefault="000D2FC5" w:rsidP="000D2FC5">
      <w:pPr>
        <w:spacing w:line="360" w:lineRule="auto"/>
        <w:rPr>
          <w:rFonts w:ascii="Times" w:hAnsi="Times"/>
          <w:b/>
          <w:bCs/>
        </w:rPr>
      </w:pPr>
      <w:r w:rsidRPr="00FE5EC6">
        <w:rPr>
          <w:rFonts w:ascii="Times" w:hAnsi="Times"/>
          <w:b/>
          <w:bCs/>
        </w:rPr>
        <w:t>Corresponding Author:</w:t>
      </w:r>
    </w:p>
    <w:p w14:paraId="464A7304" w14:textId="77777777" w:rsidR="000D2FC5" w:rsidRPr="00FC69C2" w:rsidRDefault="000D2FC5" w:rsidP="000D2FC5">
      <w:pPr>
        <w:pStyle w:val="NormalWeb"/>
        <w:spacing w:before="0" w:beforeAutospacing="0" w:after="0" w:afterAutospacing="0" w:line="360" w:lineRule="auto"/>
        <w:rPr>
          <w:color w:val="000000"/>
        </w:rPr>
      </w:pPr>
      <w:r w:rsidRPr="00FC69C2">
        <w:rPr>
          <w:color w:val="000000"/>
        </w:rPr>
        <w:t>Kellen Choi, DO, FACOS</w:t>
      </w:r>
    </w:p>
    <w:p w14:paraId="312B3785" w14:textId="77777777" w:rsidR="000D2FC5" w:rsidRPr="00FC69C2" w:rsidRDefault="000D2FC5" w:rsidP="000D2FC5">
      <w:pPr>
        <w:pStyle w:val="NormalWeb"/>
        <w:spacing w:before="0" w:beforeAutospacing="0" w:after="0" w:afterAutospacing="0" w:line="360" w:lineRule="auto"/>
        <w:rPr>
          <w:color w:val="000000"/>
        </w:rPr>
      </w:pPr>
      <w:r w:rsidRPr="00FC69C2">
        <w:rPr>
          <w:color w:val="000000"/>
        </w:rPr>
        <w:t>University of Louisville Hospital</w:t>
      </w:r>
    </w:p>
    <w:p w14:paraId="61FDC5B4" w14:textId="77777777" w:rsidR="000D2FC5" w:rsidRPr="00FC69C2" w:rsidRDefault="000D2FC5" w:rsidP="000D2FC5">
      <w:pPr>
        <w:pStyle w:val="NormalWeb"/>
        <w:spacing w:before="0" w:beforeAutospacing="0" w:after="0" w:afterAutospacing="0" w:line="360" w:lineRule="auto"/>
        <w:rPr>
          <w:color w:val="000000"/>
        </w:rPr>
      </w:pPr>
      <w:r w:rsidRPr="00FC69C2">
        <w:rPr>
          <w:color w:val="000000"/>
        </w:rPr>
        <w:t>130 Stonecrest Road, Suite 106</w:t>
      </w:r>
    </w:p>
    <w:p w14:paraId="5F9662CE" w14:textId="77777777" w:rsidR="000D2FC5" w:rsidRPr="00FC69C2" w:rsidRDefault="000D2FC5" w:rsidP="000D2FC5">
      <w:pPr>
        <w:pStyle w:val="NormalWeb"/>
        <w:spacing w:before="0" w:beforeAutospacing="0" w:after="0" w:afterAutospacing="0" w:line="360" w:lineRule="auto"/>
        <w:rPr>
          <w:color w:val="000000"/>
        </w:rPr>
      </w:pPr>
      <w:r w:rsidRPr="00FC69C2">
        <w:rPr>
          <w:color w:val="000000"/>
        </w:rPr>
        <w:t>Shelbyville, KY 40065, USA</w:t>
      </w:r>
    </w:p>
    <w:p w14:paraId="27595F91" w14:textId="77777777" w:rsidR="000D2FC5" w:rsidRPr="00FC69C2" w:rsidRDefault="000D2FC5" w:rsidP="000D2FC5">
      <w:pPr>
        <w:pStyle w:val="NormalWeb"/>
        <w:spacing w:before="0" w:beforeAutospacing="0" w:after="0" w:afterAutospacing="0" w:line="360" w:lineRule="auto"/>
        <w:rPr>
          <w:color w:val="000000"/>
        </w:rPr>
      </w:pPr>
      <w:r w:rsidRPr="00FC69C2">
        <w:rPr>
          <w:color w:val="000000"/>
        </w:rPr>
        <w:t>Tel: 502-405-9450</w:t>
      </w:r>
    </w:p>
    <w:p w14:paraId="2AB3F247" w14:textId="77777777" w:rsidR="000D2FC5" w:rsidRPr="00FC69C2" w:rsidRDefault="000D2FC5" w:rsidP="000D2FC5">
      <w:pPr>
        <w:pStyle w:val="NormalWeb"/>
        <w:spacing w:before="0" w:beforeAutospacing="0" w:after="0" w:afterAutospacing="0" w:line="360" w:lineRule="auto"/>
        <w:rPr>
          <w:color w:val="000000"/>
        </w:rPr>
      </w:pPr>
      <w:r w:rsidRPr="00FC69C2">
        <w:rPr>
          <w:color w:val="000000"/>
        </w:rPr>
        <w:t>Email: Kellen.choi@uoflhealth.org</w:t>
      </w:r>
    </w:p>
    <w:p w14:paraId="546254E6" w14:textId="77777777" w:rsidR="000D2FC5" w:rsidRPr="00FE5EC6" w:rsidRDefault="000D2FC5" w:rsidP="000D2FC5">
      <w:pPr>
        <w:spacing w:line="360" w:lineRule="auto"/>
        <w:rPr>
          <w:rFonts w:ascii="Times" w:hAnsi="Times"/>
          <w:b/>
          <w:bCs/>
        </w:rPr>
      </w:pPr>
    </w:p>
    <w:p w14:paraId="5B5FE3DB" w14:textId="77777777" w:rsidR="000D2FC5" w:rsidRPr="00FE5EC6" w:rsidRDefault="000D2FC5" w:rsidP="000D2FC5">
      <w:pPr>
        <w:spacing w:line="360" w:lineRule="auto"/>
        <w:rPr>
          <w:rFonts w:ascii="Times" w:hAnsi="Times"/>
          <w:b/>
          <w:bCs/>
        </w:rPr>
      </w:pPr>
      <w:r w:rsidRPr="00FE5EC6">
        <w:rPr>
          <w:rFonts w:ascii="Times" w:hAnsi="Times"/>
          <w:b/>
          <w:bCs/>
        </w:rPr>
        <w:t>Declarations of Interest:</w:t>
      </w:r>
      <w:r w:rsidRPr="00FE5EC6">
        <w:rPr>
          <w:rFonts w:ascii="Times" w:hAnsi="Times"/>
        </w:rPr>
        <w:t xml:space="preserve"> none</w:t>
      </w:r>
      <w:r w:rsidRPr="00FE5EC6">
        <w:rPr>
          <w:rFonts w:ascii="Times" w:hAnsi="Times"/>
          <w:b/>
          <w:bCs/>
        </w:rPr>
        <w:t xml:space="preserve"> </w:t>
      </w:r>
    </w:p>
    <w:p w14:paraId="08B51C68" w14:textId="77777777" w:rsidR="000D2FC5" w:rsidRPr="00FE5EC6" w:rsidRDefault="000D2FC5" w:rsidP="000D2FC5">
      <w:pPr>
        <w:spacing w:line="360" w:lineRule="auto"/>
        <w:rPr>
          <w:rFonts w:ascii="Times" w:hAnsi="Times"/>
        </w:rPr>
      </w:pPr>
      <w:r w:rsidRPr="00FE5EC6">
        <w:rPr>
          <w:rFonts w:ascii="Times" w:hAnsi="Times"/>
          <w:b/>
          <w:bCs/>
        </w:rPr>
        <w:t xml:space="preserve">Funding: </w:t>
      </w:r>
      <w:r w:rsidRPr="00FE5EC6">
        <w:rPr>
          <w:rFonts w:ascii="Times" w:hAnsi="Times"/>
        </w:rPr>
        <w:t>none</w:t>
      </w:r>
    </w:p>
    <w:p w14:paraId="270F7F13" w14:textId="600A06EC" w:rsidR="000D2FC5" w:rsidRPr="00FE5EC6" w:rsidRDefault="000D2FC5" w:rsidP="000D2FC5">
      <w:pPr>
        <w:spacing w:line="360" w:lineRule="auto"/>
        <w:rPr>
          <w:rFonts w:ascii="Times" w:hAnsi="Times"/>
        </w:rPr>
      </w:pPr>
      <w:r w:rsidRPr="00FE5EC6">
        <w:rPr>
          <w:rFonts w:ascii="Times" w:hAnsi="Times"/>
          <w:b/>
          <w:bCs/>
        </w:rPr>
        <w:t xml:space="preserve">Keywords: </w:t>
      </w:r>
      <w:r w:rsidRPr="00FE5EC6">
        <w:rPr>
          <w:rFonts w:ascii="Times" w:hAnsi="Times"/>
          <w:bCs/>
        </w:rPr>
        <w:t xml:space="preserve">academic, </w:t>
      </w:r>
      <w:r w:rsidRPr="00FE5EC6">
        <w:rPr>
          <w:rFonts w:ascii="Times" w:hAnsi="Times"/>
        </w:rPr>
        <w:t>education, academia, career, a</w:t>
      </w:r>
      <w:r w:rsidR="004605E7">
        <w:rPr>
          <w:rFonts w:ascii="Times" w:hAnsi="Times"/>
        </w:rPr>
        <w:t>spiring</w:t>
      </w:r>
    </w:p>
    <w:p w14:paraId="188AC5B6" w14:textId="77777777" w:rsidR="000D2FC5" w:rsidRPr="0044705D" w:rsidRDefault="000D2FC5" w:rsidP="000D2FC5">
      <w:pPr>
        <w:spacing w:line="360" w:lineRule="auto"/>
        <w:rPr>
          <w:rFonts w:eastAsia="Calibri"/>
        </w:rPr>
      </w:pPr>
      <w:r w:rsidRPr="00273096">
        <w:rPr>
          <w:b/>
          <w:bCs/>
        </w:rPr>
        <w:t>Abstract Word Count:</w:t>
      </w:r>
      <w:r w:rsidRPr="00273096">
        <w:t xml:space="preserve"> </w:t>
      </w:r>
      <w:r>
        <w:t>271</w:t>
      </w:r>
    </w:p>
    <w:p w14:paraId="56BAF752" w14:textId="5569DC65" w:rsidR="009A2949" w:rsidRDefault="000D2FC5" w:rsidP="000D2FC5">
      <w:r>
        <w:rPr>
          <w:b/>
          <w:bCs/>
        </w:rPr>
        <w:t xml:space="preserve">Manuscript </w:t>
      </w:r>
      <w:r w:rsidRPr="00273096">
        <w:rPr>
          <w:b/>
          <w:bCs/>
        </w:rPr>
        <w:t>Word Count:</w:t>
      </w:r>
      <w:r w:rsidRPr="00273096">
        <w:t xml:space="preserve"> 3</w:t>
      </w:r>
      <w:r>
        <w:t>212</w:t>
      </w:r>
    </w:p>
    <w:p w14:paraId="5938FD5C" w14:textId="77777777" w:rsidR="009A2949" w:rsidRDefault="009A2949">
      <w:r>
        <w:br w:type="page"/>
      </w:r>
    </w:p>
    <w:p w14:paraId="7A5C971F" w14:textId="77777777" w:rsidR="009A2949" w:rsidRPr="00FE5EC6" w:rsidRDefault="009A2949" w:rsidP="009A2949">
      <w:pPr>
        <w:spacing w:line="276" w:lineRule="auto"/>
        <w:rPr>
          <w:rFonts w:ascii="Times" w:hAnsi="Times"/>
          <w:b/>
          <w:bCs/>
        </w:rPr>
      </w:pPr>
      <w:r w:rsidRPr="00FE5EC6">
        <w:rPr>
          <w:rFonts w:ascii="Times" w:hAnsi="Times"/>
          <w:b/>
          <w:u w:val="single"/>
        </w:rPr>
        <w:lastRenderedPageBreak/>
        <w:t>Abstract</w:t>
      </w:r>
      <w:r>
        <w:rPr>
          <w:rFonts w:ascii="Times" w:hAnsi="Times"/>
          <w:b/>
          <w:u w:val="single"/>
        </w:rPr>
        <w:t>:</w:t>
      </w:r>
    </w:p>
    <w:p w14:paraId="26EB1EB4" w14:textId="63FED1AD" w:rsidR="009A2949" w:rsidRDefault="009A2949" w:rsidP="009A2949">
      <w:pPr>
        <w:pStyle w:val="NormalWeb"/>
        <w:spacing w:before="0" w:beforeAutospacing="0" w:after="0" w:afterAutospacing="0" w:line="276" w:lineRule="auto"/>
        <w:rPr>
          <w:rFonts w:ascii="Times" w:hAnsi="Times"/>
          <w:b/>
          <w:bCs/>
          <w:color w:val="000000"/>
        </w:rPr>
      </w:pPr>
    </w:p>
    <w:p w14:paraId="6420B9C4" w14:textId="4C1A1772" w:rsidR="009A2949" w:rsidRPr="00984143" w:rsidRDefault="009A2949" w:rsidP="009A2949">
      <w:pPr>
        <w:pStyle w:val="NormalWeb"/>
        <w:spacing w:before="0" w:beforeAutospacing="0" w:after="0" w:afterAutospacing="0" w:line="276" w:lineRule="auto"/>
        <w:rPr>
          <w:rFonts w:ascii="Times" w:hAnsi="Times"/>
          <w:b/>
          <w:bCs/>
          <w:color w:val="000000"/>
        </w:rPr>
      </w:pPr>
      <w:r w:rsidRPr="00FE5EC6">
        <w:rPr>
          <w:rFonts w:ascii="Times" w:hAnsi="Times"/>
          <w:color w:val="000000"/>
        </w:rPr>
        <w:t>Urology has shown a gradual decrease in the number of graduating residents that plan to pursue a career in academic medicine. Our objective was to identify barriers to academic urology, present options to mitigate those barriers and explore strategic ways to encourage trainees to seek careers in academic Urology.</w:t>
      </w:r>
      <w:r w:rsidR="00360747">
        <w:rPr>
          <w:rFonts w:ascii="Times" w:hAnsi="Times"/>
          <w:b/>
          <w:bCs/>
          <w:color w:val="000000"/>
        </w:rPr>
        <w:t xml:space="preserve"> </w:t>
      </w:r>
      <w:r w:rsidRPr="00FE5EC6">
        <w:rPr>
          <w:rFonts w:ascii="Times" w:hAnsi="Times"/>
          <w:color w:val="000000"/>
        </w:rPr>
        <w:t>The authors performed a contemporary review of relevant articles through PubMed assessing prior survey studies, editorials and expert opinion articles that evaluated academic urology, perceptions of academic medicine, physician burnout and barriers that have been identified to pursuing careers in academic medicine. Selected articles were then independently reviewed by three authors for relevance and application of factors mitigating perceived barriers to pursuing a career in academic medicine as a whole and academic urology more specifically.</w:t>
      </w:r>
      <w:r w:rsidR="00360747">
        <w:rPr>
          <w:rFonts w:ascii="Times" w:hAnsi="Times"/>
          <w:b/>
          <w:bCs/>
          <w:color w:val="000000"/>
        </w:rPr>
        <w:t xml:space="preserve"> </w:t>
      </w:r>
      <w:r w:rsidRPr="00FE5EC6">
        <w:rPr>
          <w:rFonts w:ascii="Times" w:hAnsi="Times"/>
          <w:color w:val="000000"/>
        </w:rPr>
        <w:t>Barriers at the academic levels of medical school and residency were found to consist of lack of exposure to research early in their medical careers, inadequate mentorship, all-specialty leading levels of burnout, current average levels of medical school indebtedness contrasted to perceptions of pay disparity when compared to private attending urologists income and perceptions of difficulty maintaining the academic “triple threat.” More acutely, the decision to make Step 1 a pass/fail exam, with the addition of historically low match rates in urology have resulted in additional complications and concerns for aspiring academic urologists</w:t>
      </w:r>
      <w:r w:rsidR="00360747">
        <w:rPr>
          <w:rFonts w:ascii="Times" w:hAnsi="Times"/>
          <w:color w:val="000000"/>
        </w:rPr>
        <w:t>.</w:t>
      </w:r>
      <w:r w:rsidR="00360747">
        <w:rPr>
          <w:rFonts w:ascii="Times" w:hAnsi="Times"/>
          <w:b/>
          <w:bCs/>
          <w:color w:val="000000"/>
        </w:rPr>
        <w:t xml:space="preserve"> </w:t>
      </w:r>
      <w:r w:rsidRPr="00FE5EC6">
        <w:rPr>
          <w:rFonts w:ascii="Times" w:hAnsi="Times"/>
        </w:rPr>
        <w:t>There are clear barriers that graduating urology residents encounter when considering a career in academic medicine. Here we present possible mitigating factors that may be instituted at the both the individual level, and at the level of medical schools and post-graduate programs to increase the number of practicing academics.</w:t>
      </w:r>
    </w:p>
    <w:p w14:paraId="176D412B" w14:textId="568381F9" w:rsidR="009A2949" w:rsidRDefault="009A2949">
      <w:r>
        <w:br w:type="page"/>
      </w:r>
    </w:p>
    <w:p w14:paraId="1A682BEB" w14:textId="77777777" w:rsidR="009A2949" w:rsidRPr="00FE5EC6" w:rsidRDefault="009A2949" w:rsidP="009A2949">
      <w:pPr>
        <w:spacing w:line="276" w:lineRule="auto"/>
        <w:rPr>
          <w:rFonts w:ascii="Times" w:hAnsi="Times"/>
          <w:b/>
          <w:bCs/>
          <w:u w:val="single"/>
        </w:rPr>
      </w:pPr>
      <w:r w:rsidRPr="00FE5EC6">
        <w:rPr>
          <w:rFonts w:ascii="Times" w:hAnsi="Times"/>
          <w:b/>
          <w:bCs/>
          <w:u w:val="single"/>
        </w:rPr>
        <w:lastRenderedPageBreak/>
        <w:t>Introduction</w:t>
      </w:r>
      <w:r>
        <w:rPr>
          <w:rFonts w:ascii="Times" w:hAnsi="Times"/>
          <w:b/>
          <w:bCs/>
          <w:u w:val="single"/>
        </w:rPr>
        <w:t>:</w:t>
      </w:r>
    </w:p>
    <w:p w14:paraId="29698AE6" w14:textId="77777777" w:rsidR="009A2949" w:rsidRPr="00FE5EC6" w:rsidRDefault="009A2949" w:rsidP="009A2949">
      <w:pPr>
        <w:spacing w:line="276" w:lineRule="auto"/>
        <w:rPr>
          <w:rFonts w:ascii="Times" w:hAnsi="Times"/>
          <w:b/>
          <w:bCs/>
          <w:u w:val="single"/>
        </w:rPr>
      </w:pPr>
    </w:p>
    <w:p w14:paraId="510259B1" w14:textId="77777777" w:rsidR="009A2949" w:rsidRPr="00FE5EC6" w:rsidRDefault="009A2949" w:rsidP="009A2949">
      <w:pPr>
        <w:spacing w:line="276" w:lineRule="auto"/>
        <w:rPr>
          <w:rFonts w:ascii="Times" w:hAnsi="Times"/>
        </w:rPr>
      </w:pPr>
      <w:r w:rsidRPr="00FE5EC6">
        <w:rPr>
          <w:rFonts w:ascii="Times" w:hAnsi="Times"/>
        </w:rPr>
        <w:tab/>
        <w:t xml:space="preserve">The gradual decrease in the numbers of clinician-educators throughout the academic community over the years has been a discouraging and persistent trend [1]. Urology is not immune to the effects of this shift. According to the American Urological Association (AUA) 2018 resident census, only 35% of urology residents intended to pursue a career in academic medicine [2]. This low recruitment rate could prove problematic for the academic urology community in future years as departments are already experiencing the negative impacts of academic physician shortages. This is evident by the fact that 53.5% of chairs and division heads have been searching for 2 or more years in attempts to fill available positions [3]. Recruiting and retaining a lower percentage of trainees within the academic realm has the potential to negatively impact research endeavors, clinical training experiences, and the future growth of the field as the multitude of emerging medical technologies are largely devised, </w:t>
      </w:r>
      <w:proofErr w:type="gramStart"/>
      <w:r w:rsidRPr="00FE5EC6">
        <w:rPr>
          <w:rFonts w:ascii="Times" w:hAnsi="Times"/>
        </w:rPr>
        <w:t>implemented</w:t>
      </w:r>
      <w:proofErr w:type="gramEnd"/>
      <w:r w:rsidRPr="00FE5EC6">
        <w:rPr>
          <w:rFonts w:ascii="Times" w:hAnsi="Times"/>
        </w:rPr>
        <w:t xml:space="preserve"> and promoted by physicians in academic medicine.  </w:t>
      </w:r>
    </w:p>
    <w:p w14:paraId="6237C7B8" w14:textId="77777777" w:rsidR="009A2949" w:rsidRPr="00FE5EC6" w:rsidRDefault="009A2949" w:rsidP="009A2949">
      <w:pPr>
        <w:spacing w:line="276" w:lineRule="auto"/>
        <w:ind w:firstLine="720"/>
        <w:rPr>
          <w:rFonts w:ascii="Times" w:hAnsi="Times"/>
        </w:rPr>
      </w:pPr>
      <w:r w:rsidRPr="00FE5EC6">
        <w:rPr>
          <w:rFonts w:ascii="Times" w:hAnsi="Times"/>
        </w:rPr>
        <w:t xml:space="preserve">Haas et al (2009) provided an in-depth evaluation of the many obstacles that may dissuade potential academicians from joining academia. The goal of this contemporary update is to identify and expand our understanding of these barriers in the context of significantly impactful changes facing entry to urology today. Identifying the sources of these difficulties is crucial to understanding the importance of implementing effective response strategies to prevent the probable loss of academic physicians in the future. </w:t>
      </w:r>
    </w:p>
    <w:p w14:paraId="10F5D7AE" w14:textId="77777777" w:rsidR="009A2949" w:rsidRPr="00FE5EC6" w:rsidRDefault="009A2949" w:rsidP="009A2949">
      <w:pPr>
        <w:spacing w:line="276" w:lineRule="auto"/>
        <w:rPr>
          <w:rFonts w:ascii="Times" w:hAnsi="Times"/>
          <w:b/>
          <w:bCs/>
          <w:u w:val="single"/>
        </w:rPr>
      </w:pPr>
    </w:p>
    <w:p w14:paraId="425FEF06" w14:textId="77777777" w:rsidR="009A2949" w:rsidRPr="00FE5EC6" w:rsidRDefault="009A2949" w:rsidP="009A2949">
      <w:pPr>
        <w:spacing w:line="276" w:lineRule="auto"/>
        <w:rPr>
          <w:rFonts w:ascii="Times" w:hAnsi="Times"/>
          <w:b/>
          <w:bCs/>
          <w:u w:val="single"/>
        </w:rPr>
      </w:pPr>
      <w:r w:rsidRPr="00FE5EC6">
        <w:rPr>
          <w:rFonts w:ascii="Times" w:hAnsi="Times"/>
          <w:b/>
          <w:bCs/>
          <w:u w:val="single"/>
        </w:rPr>
        <w:t>Challenges</w:t>
      </w:r>
      <w:r>
        <w:rPr>
          <w:rFonts w:ascii="Times" w:hAnsi="Times"/>
          <w:b/>
          <w:bCs/>
          <w:u w:val="single"/>
        </w:rPr>
        <w:t>:</w:t>
      </w:r>
    </w:p>
    <w:p w14:paraId="75619796" w14:textId="77777777" w:rsidR="009A2949" w:rsidRPr="00FE5EC6" w:rsidRDefault="009A2949" w:rsidP="009A2949">
      <w:pPr>
        <w:spacing w:line="276" w:lineRule="auto"/>
        <w:rPr>
          <w:rFonts w:ascii="Times" w:hAnsi="Times"/>
          <w:b/>
          <w:bCs/>
          <w:u w:val="single"/>
        </w:rPr>
      </w:pPr>
    </w:p>
    <w:p w14:paraId="3C01509A" w14:textId="77777777" w:rsidR="009A2949" w:rsidRPr="00FE5EC6" w:rsidRDefault="009A2949" w:rsidP="009A2949">
      <w:pPr>
        <w:spacing w:line="276" w:lineRule="auto"/>
        <w:rPr>
          <w:rFonts w:ascii="Times" w:hAnsi="Times"/>
          <w:b/>
          <w:bCs/>
          <w:i/>
          <w:iCs/>
        </w:rPr>
      </w:pPr>
      <w:r w:rsidRPr="00FE5EC6">
        <w:rPr>
          <w:rFonts w:ascii="Times" w:hAnsi="Times"/>
          <w:b/>
          <w:bCs/>
          <w:i/>
          <w:iCs/>
        </w:rPr>
        <w:t>Medical School</w:t>
      </w:r>
    </w:p>
    <w:p w14:paraId="197DE835" w14:textId="77777777" w:rsidR="009A2949" w:rsidRPr="00FE5EC6" w:rsidRDefault="009A2949" w:rsidP="009A2949">
      <w:pPr>
        <w:spacing w:line="276" w:lineRule="auto"/>
        <w:ind w:firstLine="720"/>
        <w:rPr>
          <w:rFonts w:ascii="Times" w:hAnsi="Times"/>
        </w:rPr>
      </w:pPr>
      <w:r w:rsidRPr="00FE5EC6">
        <w:rPr>
          <w:rFonts w:ascii="Times" w:hAnsi="Times"/>
        </w:rPr>
        <w:t>The mindset of pursing an academic career can develop during the earliest stages of medical training: in medical school. Therefore, it is prudent of the medical education community to implement strategies that expose medical students to opportunities to learn more about a career in academic medicine.</w:t>
      </w:r>
    </w:p>
    <w:p w14:paraId="0E41FEF1" w14:textId="77777777" w:rsidR="009A2949" w:rsidRPr="00FE5EC6" w:rsidRDefault="009A2949" w:rsidP="009A2949">
      <w:pPr>
        <w:spacing w:line="276" w:lineRule="auto"/>
        <w:ind w:firstLine="720"/>
        <w:rPr>
          <w:rFonts w:ascii="Times" w:hAnsi="Times"/>
        </w:rPr>
      </w:pPr>
      <w:r w:rsidRPr="00FE5EC6">
        <w:rPr>
          <w:rFonts w:ascii="Times" w:hAnsi="Times"/>
        </w:rPr>
        <w:t xml:space="preserve">Current medical school curricula in many institutions may limit students’ ability to gain adequate research experience representative of a career in academic medicine through their coursework. Several studies have shown that students who participate in research activities during medical school are more likely to be interested in pursuing a career in academia [5]. </w:t>
      </w:r>
    </w:p>
    <w:p w14:paraId="14DE142F" w14:textId="77777777" w:rsidR="009A2949" w:rsidRPr="00FE5EC6" w:rsidRDefault="009A2949" w:rsidP="009A2949">
      <w:pPr>
        <w:spacing w:line="276" w:lineRule="auto"/>
        <w:ind w:firstLine="720"/>
        <w:rPr>
          <w:rFonts w:ascii="Times" w:hAnsi="Times"/>
        </w:rPr>
      </w:pPr>
      <w:r w:rsidRPr="00FE5EC6">
        <w:rPr>
          <w:rFonts w:ascii="Times" w:hAnsi="Times"/>
        </w:rPr>
        <w:t xml:space="preserve">Influence from an academic mentor or role model was also shown to have a positive impact in a student’s consideration of academic medicine however, access to such an individual may not always be readily available [5]. Having access to mentorship creates an invaluable experience for medical students to explore academic medicine as a career path. </w:t>
      </w:r>
    </w:p>
    <w:p w14:paraId="26B8FE22" w14:textId="77777777" w:rsidR="009A2949" w:rsidRPr="00FE5EC6" w:rsidRDefault="009A2949" w:rsidP="009A2949">
      <w:pPr>
        <w:spacing w:line="276" w:lineRule="auto"/>
        <w:ind w:firstLine="720"/>
        <w:rPr>
          <w:rFonts w:ascii="Times" w:hAnsi="Times"/>
        </w:rPr>
      </w:pPr>
      <w:r w:rsidRPr="00FE5EC6">
        <w:rPr>
          <w:rFonts w:ascii="Times" w:hAnsi="Times"/>
        </w:rPr>
        <w:t xml:space="preserve">Another factor to consider is medical student indebtedness. Greysen et al (2011) showed that although there has not been a substantial change to the proportion of students graduating with debt since 1985, the mean level of indebtedness has increased significantly to $158,000 per student in 2011. As a comparison, the average medical indebtedness in 1984 was $26,500 [7]. </w:t>
      </w:r>
      <w:r w:rsidRPr="00FE5EC6">
        <w:rPr>
          <w:rFonts w:ascii="Times" w:hAnsi="Times"/>
        </w:rPr>
        <w:lastRenderedPageBreak/>
        <w:t xml:space="preserve">This value has only continued to increase over recent years. According to the AAMC, the mean educational debt for the Class of 2019 was $201,490 [8]. </w:t>
      </w:r>
      <w:proofErr w:type="gramStart"/>
      <w:r w:rsidRPr="00FE5EC6">
        <w:rPr>
          <w:rFonts w:ascii="Times" w:hAnsi="Times"/>
        </w:rPr>
        <w:t>In order to</w:t>
      </w:r>
      <w:proofErr w:type="gramEnd"/>
      <w:r w:rsidRPr="00FE5EC6">
        <w:rPr>
          <w:rFonts w:ascii="Times" w:hAnsi="Times"/>
        </w:rPr>
        <w:t xml:space="preserve"> accurately understand how much medical student indebtedness has increased, inflation must be accounted for. Therefore, after adjusting the 2019 average debt to “1984 dollars”, the value of $201,490 today is equivalent to $81,886.16 in 1984 [7]. Higher levels of debt have been shown to be a deterrent for physicians who may choose to pursue a career in academic medicine, which has a reputation for having lower financial compensation compared to private practice settings [9]. </w:t>
      </w:r>
    </w:p>
    <w:p w14:paraId="21FA1487" w14:textId="77777777" w:rsidR="009A2949" w:rsidRPr="00FE5EC6" w:rsidRDefault="009A2949" w:rsidP="009A2949">
      <w:pPr>
        <w:spacing w:line="276" w:lineRule="auto"/>
        <w:ind w:firstLine="720"/>
        <w:rPr>
          <w:rFonts w:ascii="Times" w:hAnsi="Times"/>
        </w:rPr>
      </w:pPr>
    </w:p>
    <w:p w14:paraId="11F23F09" w14:textId="77777777" w:rsidR="009A2949" w:rsidRPr="00FE5EC6" w:rsidRDefault="009A2949" w:rsidP="009A2949">
      <w:pPr>
        <w:spacing w:line="276" w:lineRule="auto"/>
        <w:rPr>
          <w:rFonts w:ascii="Times" w:hAnsi="Times"/>
          <w:b/>
          <w:bCs/>
          <w:i/>
          <w:iCs/>
        </w:rPr>
      </w:pPr>
      <w:r w:rsidRPr="00FE5EC6">
        <w:rPr>
          <w:rFonts w:ascii="Times" w:hAnsi="Times"/>
          <w:b/>
          <w:bCs/>
          <w:i/>
          <w:iCs/>
        </w:rPr>
        <w:t>Residency</w:t>
      </w:r>
    </w:p>
    <w:p w14:paraId="1568F465" w14:textId="77777777" w:rsidR="009A2949" w:rsidRPr="00FE5EC6" w:rsidRDefault="009A2949" w:rsidP="009A2949">
      <w:pPr>
        <w:spacing w:line="276" w:lineRule="auto"/>
        <w:ind w:firstLine="720"/>
        <w:rPr>
          <w:rFonts w:ascii="Times" w:hAnsi="Times"/>
        </w:rPr>
      </w:pPr>
      <w:r w:rsidRPr="00FE5EC6">
        <w:rPr>
          <w:rFonts w:ascii="Times" w:hAnsi="Times"/>
        </w:rPr>
        <w:t xml:space="preserve">Although some medical students may have had the opportunity to participate in a significant amount of research, </w:t>
      </w:r>
      <w:proofErr w:type="gramStart"/>
      <w:r w:rsidRPr="00FE5EC6">
        <w:rPr>
          <w:rFonts w:ascii="Times" w:hAnsi="Times"/>
        </w:rPr>
        <w:t>a large number of</w:t>
      </w:r>
      <w:proofErr w:type="gramEnd"/>
      <w:r w:rsidRPr="00FE5EC6">
        <w:rPr>
          <w:rFonts w:ascii="Times" w:hAnsi="Times"/>
        </w:rPr>
        <w:t xml:space="preserve"> students are not exposed to any meaningful research until they enter residency. However, even after matriculating into residency, research experiences may vastly differ as it depends on the curriculum structure of the individual program. The amount of time dedicated towards research responsibilities varies drastically among urology residencies. This may range from a complete absence of dedicated research time to a full year of protected time to pursue research goals. The type of program a </w:t>
      </w:r>
      <w:proofErr w:type="gramStart"/>
      <w:r w:rsidRPr="00FE5EC6">
        <w:rPr>
          <w:rFonts w:ascii="Times" w:hAnsi="Times"/>
        </w:rPr>
        <w:t>resident attends</w:t>
      </w:r>
      <w:proofErr w:type="gramEnd"/>
      <w:r w:rsidRPr="00FE5EC6">
        <w:rPr>
          <w:rFonts w:ascii="Times" w:hAnsi="Times"/>
        </w:rPr>
        <w:t xml:space="preserve"> can influence their opinion regarding academic medicine and potentially place them on a trajectory towards a career that aligns with their program strengths.</w:t>
      </w:r>
    </w:p>
    <w:p w14:paraId="76747C0A" w14:textId="77777777" w:rsidR="009A2949" w:rsidRPr="00FE5EC6" w:rsidRDefault="009A2949" w:rsidP="009A2949">
      <w:pPr>
        <w:spacing w:line="276" w:lineRule="auto"/>
        <w:ind w:firstLine="720"/>
        <w:rPr>
          <w:rFonts w:ascii="Times" w:hAnsi="Times"/>
          <w:color w:val="000000" w:themeColor="text1"/>
        </w:rPr>
      </w:pPr>
      <w:r w:rsidRPr="00FE5EC6">
        <w:rPr>
          <w:rFonts w:ascii="Times" w:hAnsi="Times"/>
        </w:rPr>
        <w:t>A resident’s decision to pursue fellowship training may also be an indicator of interest in academia, although it may be difficult to initially discern whether that interest in academia is inherent to personal desires, or simply to improve their chances of matching into a fellowship [10]. Regardless, fellowship typically allows more time to pursue research endeavors as the likelihood of having dedicated research time and a research mentor is increased and these individuals may have a greater tendency to become an academic physician [11]. A survey conducted among urology residents found that there were three main independent factors positively associated with choosing a fellowship: shorter residency program (5 vs. 6-year program), having successfully published a manuscript during residency, and mentorship [11]. Lin et al (2018) sought to identify perceived obstacles to a career in academic medicine as it pertained to trainees at the resident level. Their results indicated that a lack of mentorship was the most significant barrier reported by residents followed by concerns of work/life balance, job availability, lack of autonomy and competing roles [12].</w:t>
      </w:r>
    </w:p>
    <w:p w14:paraId="6DC7720F" w14:textId="77777777" w:rsidR="009A2949" w:rsidRPr="00FE5EC6" w:rsidRDefault="009A2949" w:rsidP="009A2949">
      <w:pPr>
        <w:spacing w:line="276" w:lineRule="auto"/>
        <w:ind w:firstLine="720"/>
        <w:rPr>
          <w:rFonts w:ascii="Times" w:hAnsi="Times"/>
        </w:rPr>
      </w:pPr>
    </w:p>
    <w:p w14:paraId="176F8EFB" w14:textId="77777777" w:rsidR="009A2949" w:rsidRPr="00FE5EC6" w:rsidRDefault="009A2949" w:rsidP="009A2949">
      <w:pPr>
        <w:spacing w:line="276" w:lineRule="auto"/>
        <w:rPr>
          <w:rFonts w:ascii="Times" w:hAnsi="Times"/>
          <w:b/>
          <w:bCs/>
          <w:i/>
          <w:iCs/>
        </w:rPr>
      </w:pPr>
      <w:r w:rsidRPr="00FE5EC6">
        <w:rPr>
          <w:rFonts w:ascii="Times" w:hAnsi="Times"/>
          <w:b/>
          <w:bCs/>
          <w:i/>
          <w:iCs/>
        </w:rPr>
        <w:t>Physician Parents in Academia</w:t>
      </w:r>
    </w:p>
    <w:p w14:paraId="2DCCEB75" w14:textId="77777777" w:rsidR="009A2949" w:rsidRPr="00FE5EC6" w:rsidRDefault="009A2949" w:rsidP="009A2949">
      <w:pPr>
        <w:spacing w:line="276" w:lineRule="auto"/>
        <w:ind w:firstLine="720"/>
        <w:rPr>
          <w:rFonts w:ascii="Times" w:hAnsi="Times"/>
          <w:color w:val="000000" w:themeColor="text1"/>
        </w:rPr>
      </w:pPr>
      <w:r w:rsidRPr="00FE5EC6">
        <w:rPr>
          <w:rFonts w:ascii="Times" w:hAnsi="Times"/>
          <w:color w:val="000000" w:themeColor="text1"/>
        </w:rPr>
        <w:t xml:space="preserve">Physicians who are parents must seek to find an adequate balance between managing their work and home responsibilities effectively. One aspect of this balance is identifying adequate childcare arrangements for their children. In the case of physicians, where weekly work hours generally average more than 40 hours and on-call responsibilities can demand more than childcare services that operate at “usual hours” can offer.  </w:t>
      </w:r>
      <w:proofErr w:type="gramStart"/>
      <w:r w:rsidRPr="00FE5EC6">
        <w:rPr>
          <w:rFonts w:ascii="Times" w:hAnsi="Times"/>
          <w:color w:val="000000" w:themeColor="text1"/>
        </w:rPr>
        <w:t>Often times</w:t>
      </w:r>
      <w:proofErr w:type="gramEnd"/>
      <w:r w:rsidRPr="00FE5EC6">
        <w:rPr>
          <w:rFonts w:ascii="Times" w:hAnsi="Times"/>
          <w:color w:val="000000" w:themeColor="text1"/>
        </w:rPr>
        <w:t xml:space="preserve"> ensuring that their children are adequately looked after may interfere directly with their careers. In fact, having to accommodate child-care responsibilities at the expense of work schedules has been reported in </w:t>
      </w:r>
      <w:r w:rsidRPr="00FE5EC6">
        <w:rPr>
          <w:rFonts w:ascii="Times" w:hAnsi="Times"/>
          <w:color w:val="000000" w:themeColor="text1"/>
        </w:rPr>
        <w:lastRenderedPageBreak/>
        <w:t xml:space="preserve">up to 87% of women and 59% of men in dual-physician marriages [25]. As a result of their additional parental responsibilities, physician parents may not be able to fulfill the concept of the ideal worker- an individual who works long hours and shows devotion to their work by putting it ahead of all other aspects of their life – that is often </w:t>
      </w:r>
      <w:proofErr w:type="gramStart"/>
      <w:r w:rsidRPr="00FE5EC6">
        <w:rPr>
          <w:rFonts w:ascii="Times" w:hAnsi="Times"/>
          <w:color w:val="000000" w:themeColor="text1"/>
        </w:rPr>
        <w:t>idealized  in</w:t>
      </w:r>
      <w:proofErr w:type="gramEnd"/>
      <w:r w:rsidRPr="00FE5EC6">
        <w:rPr>
          <w:rFonts w:ascii="Times" w:hAnsi="Times"/>
          <w:color w:val="000000" w:themeColor="text1"/>
        </w:rPr>
        <w:t xml:space="preserve"> the workplace [26]. It often feels that a substantial and directly competing choice </w:t>
      </w:r>
      <w:proofErr w:type="gramStart"/>
      <w:r w:rsidRPr="00FE5EC6">
        <w:rPr>
          <w:rFonts w:ascii="Times" w:hAnsi="Times"/>
          <w:color w:val="000000" w:themeColor="text1"/>
        </w:rPr>
        <w:t>has to</w:t>
      </w:r>
      <w:proofErr w:type="gramEnd"/>
      <w:r w:rsidRPr="00FE5EC6">
        <w:rPr>
          <w:rFonts w:ascii="Times" w:hAnsi="Times"/>
          <w:color w:val="000000" w:themeColor="text1"/>
        </w:rPr>
        <w:t xml:space="preserve"> be made in regard to the time spent parenting versus the time spent performing and advancing one’s medical career for physician parents. In the case of academic medicine where a practicing urologist has not only clinical and surgical responsibilities but also research requirements that exceed most physicians in private practice, the increased work hour demands stand in contrast to a desirable work-life balance and time to parent face to face. </w:t>
      </w:r>
    </w:p>
    <w:p w14:paraId="2971AACB" w14:textId="77777777" w:rsidR="009A2949" w:rsidRPr="00FE5EC6" w:rsidRDefault="009A2949" w:rsidP="009A2949">
      <w:pPr>
        <w:spacing w:line="276" w:lineRule="auto"/>
        <w:ind w:firstLine="720"/>
        <w:rPr>
          <w:rFonts w:ascii="Times" w:hAnsi="Times"/>
          <w:color w:val="000000" w:themeColor="text1"/>
        </w:rPr>
      </w:pPr>
    </w:p>
    <w:p w14:paraId="08B1E592" w14:textId="77777777" w:rsidR="009A2949" w:rsidRPr="00FE5EC6" w:rsidRDefault="009A2949" w:rsidP="009A2949">
      <w:pPr>
        <w:spacing w:line="276" w:lineRule="auto"/>
        <w:rPr>
          <w:rFonts w:ascii="Times" w:hAnsi="Times"/>
          <w:b/>
          <w:bCs/>
          <w:i/>
          <w:iCs/>
        </w:rPr>
      </w:pPr>
      <w:r w:rsidRPr="00FE5EC6">
        <w:rPr>
          <w:rFonts w:ascii="Times" w:hAnsi="Times"/>
          <w:b/>
          <w:bCs/>
          <w:i/>
          <w:iCs/>
        </w:rPr>
        <w:t>Triple Threat Concept</w:t>
      </w:r>
    </w:p>
    <w:p w14:paraId="2BC0D1E1" w14:textId="77777777" w:rsidR="009A2949" w:rsidRPr="00FE5EC6" w:rsidRDefault="009A2949" w:rsidP="009A2949">
      <w:pPr>
        <w:spacing w:line="276" w:lineRule="auto"/>
        <w:ind w:firstLine="720"/>
        <w:rPr>
          <w:rFonts w:ascii="Times" w:hAnsi="Times"/>
        </w:rPr>
      </w:pPr>
      <w:r w:rsidRPr="00FE5EC6">
        <w:rPr>
          <w:rFonts w:ascii="Times" w:hAnsi="Times"/>
        </w:rPr>
        <w:t xml:space="preserve">The triple threat concept denotes the ability to successfully manage being an effective clinician, </w:t>
      </w:r>
      <w:proofErr w:type="gramStart"/>
      <w:r w:rsidRPr="00FE5EC6">
        <w:rPr>
          <w:rFonts w:ascii="Times" w:hAnsi="Times"/>
        </w:rPr>
        <w:t>educator</w:t>
      </w:r>
      <w:proofErr w:type="gramEnd"/>
      <w:r w:rsidRPr="00FE5EC6">
        <w:rPr>
          <w:rFonts w:ascii="Times" w:hAnsi="Times"/>
        </w:rPr>
        <w:t xml:space="preserve"> and investigator. [27]. Historically in academia, a physician had to achieve a high degree of functioning in all three arms to be considered for promotions in sought after positions. While this tactic was often practiced in the 1960s among physicians practicing thereafter it began to lose favor as the work demands of the ideal “triple-threat” were found to result in a decrease of both job and personal satisfaction within academic clinicians. [28]. Over time, the stress associated with maintaining the triple threat status led to the avoidance of academia throughout the medical community [28].</w:t>
      </w:r>
    </w:p>
    <w:p w14:paraId="1F40754A" w14:textId="77777777" w:rsidR="009A2949" w:rsidRPr="00FE5EC6" w:rsidRDefault="009A2949" w:rsidP="009A2949">
      <w:pPr>
        <w:spacing w:line="276" w:lineRule="auto"/>
        <w:ind w:firstLine="720"/>
        <w:rPr>
          <w:rFonts w:ascii="Times" w:hAnsi="Times"/>
        </w:rPr>
      </w:pPr>
      <w:r w:rsidRPr="00FE5EC6">
        <w:rPr>
          <w:rFonts w:ascii="Times" w:hAnsi="Times"/>
        </w:rPr>
        <w:t xml:space="preserve">Difficulty in obtaining the triple threat can be attributed to the increasing complexity of modern medicine.  The pace of quickly emerging clinical advances requires devotion of a significant amount of time for physicians to remain adequately educated on the most recent and relevant aspects of patient care. Excellent medical educators must invest a substantial amount of time acquiring knowledge and their effectiveness as teachers is an acquired skill. Increased competition among research funding has led to principal investigators requiring at least 80% of their overall work hours to produce a successful project. [27]. Additionally, administrative duties such as billing and paperwork that have increasingly been thrust upon physicians adds a fourth component to the idea of the “triple threat.” [29]. </w:t>
      </w:r>
    </w:p>
    <w:p w14:paraId="06E0557A" w14:textId="77777777" w:rsidR="009A2949" w:rsidRPr="00FE5EC6" w:rsidRDefault="009A2949" w:rsidP="009A2949">
      <w:pPr>
        <w:spacing w:line="276" w:lineRule="auto"/>
        <w:rPr>
          <w:rFonts w:ascii="Times" w:hAnsi="Times"/>
        </w:rPr>
      </w:pPr>
    </w:p>
    <w:p w14:paraId="673BE8A2" w14:textId="77777777" w:rsidR="009A2949" w:rsidRPr="00FE5EC6" w:rsidRDefault="009A2949" w:rsidP="009A2949">
      <w:pPr>
        <w:spacing w:line="276" w:lineRule="auto"/>
        <w:rPr>
          <w:rFonts w:ascii="Times" w:hAnsi="Times"/>
          <w:b/>
          <w:bCs/>
          <w:u w:val="single"/>
        </w:rPr>
      </w:pPr>
      <w:r w:rsidRPr="00FE5EC6">
        <w:rPr>
          <w:rFonts w:ascii="Times" w:hAnsi="Times"/>
          <w:b/>
          <w:bCs/>
          <w:u w:val="single"/>
        </w:rPr>
        <w:t>Measures to be Taken</w:t>
      </w:r>
      <w:r>
        <w:rPr>
          <w:rFonts w:ascii="Times" w:hAnsi="Times"/>
          <w:b/>
          <w:bCs/>
          <w:u w:val="single"/>
        </w:rPr>
        <w:t>:</w:t>
      </w:r>
    </w:p>
    <w:p w14:paraId="00587B5A" w14:textId="77777777" w:rsidR="009A2949" w:rsidRPr="00FE5EC6" w:rsidRDefault="009A2949" w:rsidP="009A2949">
      <w:pPr>
        <w:spacing w:line="276" w:lineRule="auto"/>
        <w:rPr>
          <w:rFonts w:ascii="Times" w:hAnsi="Times"/>
        </w:rPr>
      </w:pPr>
    </w:p>
    <w:p w14:paraId="5D80DFC5" w14:textId="77777777" w:rsidR="009A2949" w:rsidRPr="00FE5EC6" w:rsidRDefault="009A2949" w:rsidP="009A2949">
      <w:pPr>
        <w:spacing w:line="276" w:lineRule="auto"/>
        <w:rPr>
          <w:rFonts w:ascii="Times" w:hAnsi="Times"/>
          <w:b/>
          <w:bCs/>
          <w:i/>
          <w:iCs/>
        </w:rPr>
      </w:pPr>
      <w:r w:rsidRPr="00FE5EC6">
        <w:rPr>
          <w:rFonts w:ascii="Times" w:hAnsi="Times"/>
          <w:b/>
          <w:bCs/>
          <w:i/>
          <w:iCs/>
        </w:rPr>
        <w:t>Medical School</w:t>
      </w:r>
    </w:p>
    <w:p w14:paraId="34156BA0" w14:textId="77777777" w:rsidR="009A2949" w:rsidRPr="00FE5EC6" w:rsidRDefault="009A2949" w:rsidP="009A2949">
      <w:pPr>
        <w:spacing w:line="276" w:lineRule="auto"/>
        <w:ind w:firstLine="720"/>
        <w:rPr>
          <w:rFonts w:ascii="Times" w:hAnsi="Times"/>
        </w:rPr>
      </w:pPr>
      <w:r w:rsidRPr="00FE5EC6">
        <w:rPr>
          <w:rFonts w:ascii="Times" w:hAnsi="Times"/>
        </w:rPr>
        <w:t>A key factor to consider is the declining match rate in urology. From 2019 to 2022, the match rate has steadily dropped from 84.8% to 65.6% [44]. Though it is generally understood that match rates across all competitive specialties undergo a natural pattern of fluctuation, the timing of a historically low-match year coinciding with the turbulence of significant changes in medical education warrants further study.</w:t>
      </w:r>
    </w:p>
    <w:p w14:paraId="34CE9FEF" w14:textId="77777777" w:rsidR="009A2949" w:rsidRPr="00FE5EC6" w:rsidRDefault="009A2949" w:rsidP="009A2949">
      <w:pPr>
        <w:spacing w:line="276" w:lineRule="auto"/>
        <w:ind w:firstLine="720"/>
        <w:rPr>
          <w:rFonts w:ascii="Times" w:hAnsi="Times"/>
        </w:rPr>
      </w:pPr>
      <w:r w:rsidRPr="00FE5EC6">
        <w:rPr>
          <w:rFonts w:ascii="Times" w:hAnsi="Times"/>
        </w:rPr>
        <w:t xml:space="preserve">To cultivate interest towards academic medicine among medical students, programs should seek to provide ample research exposure, research opportunities and mentorship. An </w:t>
      </w:r>
      <w:r w:rsidRPr="00FE5EC6">
        <w:rPr>
          <w:rFonts w:ascii="Times" w:hAnsi="Times"/>
        </w:rPr>
        <w:lastRenderedPageBreak/>
        <w:t xml:space="preserve">effective method that can be adopted by medical schools is to generate a platform that allows students to easily contact and interact with willing academic physicians within their local area. However, simply providing access to academic clinicians only serves those who are already considering this career path and is unlikely to be sufficient in drawing new potential students. In addition to networking databases, medical schools could incorporate talks on academic medicine into their initial student orientations, emphasizing its crucial importance and getting students thinking about their various options from day one. Miller et al (2017) also suggested that creating either a formal or informal mentorship program would provide improved guidance leading to higher quality research experiences among medical students. Promoting these programs to individuals during the formative stages of their careers would provide them with the opportunity to generate productive and meaningful professional relationships within the academic realm. </w:t>
      </w:r>
    </w:p>
    <w:p w14:paraId="75DA6040" w14:textId="77777777" w:rsidR="009A2949" w:rsidRPr="00FE5EC6" w:rsidRDefault="009A2949" w:rsidP="009A2949">
      <w:pPr>
        <w:spacing w:line="276" w:lineRule="auto"/>
        <w:ind w:firstLine="720"/>
        <w:rPr>
          <w:rFonts w:ascii="Times" w:hAnsi="Times"/>
        </w:rPr>
      </w:pPr>
      <w:r w:rsidRPr="00FE5EC6">
        <w:rPr>
          <w:rFonts w:ascii="Times" w:hAnsi="Times"/>
        </w:rPr>
        <w:t>Regarding the substantial debt that medical students accumulate, the AMA and AAMC continue to make efforts to improve their financial burden by seeking the expansion of loan repayment programs [31]. Loan repayment programs exist in a variety of types including scholarships, forgiveness and repayment and are offered through both state and national programs. An example of such a government program is a loan repayment award of up to $50,000 per year offered by the National Institute on Minority Health and Health Disparities to awardees who conduct nonfederal research about health disparities for a minimum of two years [32]</w:t>
      </w:r>
      <w:r w:rsidRPr="00FE5EC6">
        <w:rPr>
          <w:rFonts w:ascii="Times" w:hAnsi="Times"/>
          <w:b/>
          <w:bCs/>
        </w:rPr>
        <w:t xml:space="preserve">. </w:t>
      </w:r>
      <w:r w:rsidRPr="00FE5EC6">
        <w:rPr>
          <w:rFonts w:ascii="Times" w:hAnsi="Times"/>
        </w:rPr>
        <w:t xml:space="preserve">Another option available to physicians is the public service loan forgiveness program that forgives the remaining balance on a Direct Loan after 120 payments have been made while working full time for a qualified employer, which is either a government or not-for-profit organization [33].  A portion of the options offered can be accessed directly via the AAMC website however, students should discuss available options with the financial aid advisor at their institution to receive a more comprehensive list. </w:t>
      </w:r>
    </w:p>
    <w:p w14:paraId="55AB5B94" w14:textId="77777777" w:rsidR="009A2949" w:rsidRPr="00FE5EC6" w:rsidRDefault="009A2949" w:rsidP="009A2949">
      <w:pPr>
        <w:spacing w:line="276" w:lineRule="auto"/>
        <w:rPr>
          <w:rFonts w:ascii="Times" w:hAnsi="Times"/>
        </w:rPr>
      </w:pPr>
      <w:r w:rsidRPr="00FE5EC6">
        <w:rPr>
          <w:rFonts w:ascii="Times" w:hAnsi="Times"/>
        </w:rPr>
        <w:tab/>
        <w:t xml:space="preserve">Additionally, medical schools and residencies alike should include within their educational agendas discussions on financial matters as they pertain to physicians. Quite often, the perception of the discussion of actual numbers pertaining to income, debt, home acquisition and desires for family are almost perceived as taboo within medical education. Physicians are notoriously unaware of realistic perceptions of financial trajectory versus student indebtedness and how </w:t>
      </w:r>
      <w:proofErr w:type="gramStart"/>
      <w:r w:rsidRPr="00FE5EC6">
        <w:rPr>
          <w:rFonts w:ascii="Times" w:hAnsi="Times"/>
        </w:rPr>
        <w:t>that manifests</w:t>
      </w:r>
      <w:proofErr w:type="gramEnd"/>
      <w:r w:rsidRPr="00FE5EC6">
        <w:rPr>
          <w:rFonts w:ascii="Times" w:hAnsi="Times"/>
        </w:rPr>
        <w:t xml:space="preserve"> in “take home” income [34]. A fear of academic medicine is that it not only results in decreased income but that it also requires additional years of training while receiving essentially a resident level salary. Financial education and/or planning may provide realistic numbers that assuage fears of inadequate income that may be associated with academic medicine. At its best medical schools and/or certainly residencies should consider providing one-on-one financial planning that </w:t>
      </w:r>
      <w:proofErr w:type="gramStart"/>
      <w:r w:rsidRPr="00FE5EC6">
        <w:rPr>
          <w:rFonts w:ascii="Times" w:hAnsi="Times"/>
        </w:rPr>
        <w:t>takes into account</w:t>
      </w:r>
      <w:proofErr w:type="gramEnd"/>
      <w:r w:rsidRPr="00FE5EC6">
        <w:rPr>
          <w:rFonts w:ascii="Times" w:hAnsi="Times"/>
        </w:rPr>
        <w:t xml:space="preserve"> career, family and investment goals. </w:t>
      </w:r>
    </w:p>
    <w:p w14:paraId="29E51F00" w14:textId="77777777" w:rsidR="009A2949" w:rsidRPr="00FE5EC6" w:rsidRDefault="009A2949" w:rsidP="009A2949">
      <w:pPr>
        <w:spacing w:line="276" w:lineRule="auto"/>
        <w:rPr>
          <w:rFonts w:ascii="Times" w:hAnsi="Times"/>
        </w:rPr>
      </w:pPr>
    </w:p>
    <w:p w14:paraId="55E2FB7F" w14:textId="77777777" w:rsidR="009A2949" w:rsidRPr="00FE5EC6" w:rsidRDefault="009A2949" w:rsidP="009A2949">
      <w:pPr>
        <w:spacing w:line="276" w:lineRule="auto"/>
        <w:rPr>
          <w:rFonts w:ascii="Times" w:hAnsi="Times"/>
          <w:b/>
          <w:bCs/>
          <w:i/>
          <w:iCs/>
        </w:rPr>
      </w:pPr>
      <w:r w:rsidRPr="00FE5EC6">
        <w:rPr>
          <w:rFonts w:ascii="Times" w:hAnsi="Times"/>
          <w:b/>
          <w:bCs/>
          <w:i/>
          <w:iCs/>
        </w:rPr>
        <w:t>Residency</w:t>
      </w:r>
    </w:p>
    <w:p w14:paraId="7FD70F53" w14:textId="77777777" w:rsidR="009A2949" w:rsidRPr="00FE5EC6" w:rsidRDefault="009A2949" w:rsidP="009A2949">
      <w:pPr>
        <w:spacing w:line="276" w:lineRule="auto"/>
        <w:ind w:firstLine="720"/>
        <w:rPr>
          <w:rFonts w:ascii="Times" w:hAnsi="Times"/>
        </w:rPr>
      </w:pPr>
      <w:r w:rsidRPr="00FE5EC6">
        <w:rPr>
          <w:rFonts w:ascii="Times" w:hAnsi="Times"/>
        </w:rPr>
        <w:t xml:space="preserve">The barrier </w:t>
      </w:r>
      <w:proofErr w:type="gramStart"/>
      <w:r w:rsidRPr="00FE5EC6">
        <w:rPr>
          <w:rFonts w:ascii="Times" w:hAnsi="Times"/>
        </w:rPr>
        <w:t>most commonly stated</w:t>
      </w:r>
      <w:proofErr w:type="gramEnd"/>
      <w:r w:rsidRPr="00FE5EC6">
        <w:rPr>
          <w:rFonts w:ascii="Times" w:hAnsi="Times"/>
        </w:rPr>
        <w:t xml:space="preserve"> by residents influencing them to avoid pursuing academic medicine was a lack of adequate mentorship [11,12]. This could be interpreted as a lack of appropriate guidance relative to research and balancing the work/life ratio in academia. </w:t>
      </w:r>
      <w:r w:rsidRPr="00FE5EC6">
        <w:rPr>
          <w:rFonts w:ascii="Times" w:hAnsi="Times"/>
        </w:rPr>
        <w:lastRenderedPageBreak/>
        <w:t>Research can be a tedious process that may be difficult to bring to completion as there are many obstacles to traverse during the process including: developing an innovative idea, successfully navigating the IRB system, and undergoing multiple revisions to suit various publication requirements, and so forth. Residents, by nature of the clinical demands of training, are already limited in the time they can devote to other pursuits. A mentor can help navigate the arduous learning curve of research and help the resident avoid some of the common pitfalls of research during this time, such as pursuing research that requires a significant investment of time without comparable return.</w:t>
      </w:r>
    </w:p>
    <w:p w14:paraId="7873DB56" w14:textId="77777777" w:rsidR="009A2949" w:rsidRPr="00FE5EC6" w:rsidRDefault="009A2949" w:rsidP="009A2949">
      <w:pPr>
        <w:spacing w:line="276" w:lineRule="auto"/>
        <w:ind w:firstLine="720"/>
        <w:rPr>
          <w:rFonts w:ascii="Times" w:hAnsi="Times"/>
        </w:rPr>
      </w:pPr>
      <w:r w:rsidRPr="00FE5EC6">
        <w:rPr>
          <w:rFonts w:ascii="Times" w:hAnsi="Times"/>
        </w:rPr>
        <w:t xml:space="preserve">Identifying mentors within the program that are willing to devote time and resources to cultivating a productive research environment is crucial. Students should be proactive when applying to residency in seeking programs with strong mentor-mentee relationships, and likewise, residency programs should put forth efforts to cultivate and incentivize those relationships. Successful mentors will properly guide residents through their research path, but also instill the knowledge and confidence necessary to complete the process independently. Rustgi et al (2011) proposed including these components on that pathway to promote success: monthly meetings with intentional action plans after each meeting; instructions on manuscript writing, PowerPoint presentations and grant writing; introduction to regulatory affairs; and promoting an effective work-life balance. </w:t>
      </w:r>
    </w:p>
    <w:p w14:paraId="0FB25992" w14:textId="77777777" w:rsidR="009A2949" w:rsidRPr="00FE5EC6" w:rsidRDefault="009A2949" w:rsidP="009A2949">
      <w:pPr>
        <w:spacing w:line="276" w:lineRule="auto"/>
        <w:ind w:firstLine="720"/>
        <w:rPr>
          <w:rFonts w:ascii="Times" w:hAnsi="Times"/>
        </w:rPr>
      </w:pPr>
      <w:r w:rsidRPr="00FE5EC6">
        <w:rPr>
          <w:rFonts w:ascii="Times" w:hAnsi="Times"/>
        </w:rPr>
        <w:t xml:space="preserve"> An academic mentor that </w:t>
      </w:r>
      <w:proofErr w:type="gramStart"/>
      <w:r w:rsidRPr="00FE5EC6">
        <w:rPr>
          <w:rFonts w:ascii="Times" w:hAnsi="Times"/>
        </w:rPr>
        <w:t>is able to</w:t>
      </w:r>
      <w:proofErr w:type="gramEnd"/>
      <w:r w:rsidRPr="00FE5EC6">
        <w:rPr>
          <w:rFonts w:ascii="Times" w:hAnsi="Times"/>
        </w:rPr>
        <w:t xml:space="preserve"> give individualized attention and work closely with a resident would more likely be able to illuminate all of the positive impacts of choosing a career in academia and would serve as consistent motivator to achieve that goal. Mentors will also positively benefit from these interactions as it has been shown that it can improve their level of career satisfaction [36]. Overall, mentorship can positively impact faculty retention rates [37] and remove the greatest barrier that opposes residents pursuing a career in academia. </w:t>
      </w:r>
    </w:p>
    <w:p w14:paraId="4822FC19" w14:textId="77777777" w:rsidR="009A2949" w:rsidRPr="00FE5EC6" w:rsidRDefault="009A2949" w:rsidP="009A2949">
      <w:pPr>
        <w:spacing w:line="276" w:lineRule="auto"/>
        <w:ind w:firstLine="720"/>
        <w:rPr>
          <w:rFonts w:ascii="Times" w:hAnsi="Times"/>
        </w:rPr>
      </w:pPr>
    </w:p>
    <w:p w14:paraId="012E1E8E" w14:textId="77777777" w:rsidR="009A2949" w:rsidRPr="00FE5EC6" w:rsidRDefault="009A2949" w:rsidP="009A2949">
      <w:pPr>
        <w:spacing w:line="276" w:lineRule="auto"/>
        <w:rPr>
          <w:rFonts w:ascii="Times" w:hAnsi="Times"/>
          <w:b/>
          <w:bCs/>
          <w:i/>
          <w:iCs/>
        </w:rPr>
      </w:pPr>
      <w:r w:rsidRPr="00FE5EC6">
        <w:rPr>
          <w:rFonts w:ascii="Times" w:hAnsi="Times"/>
          <w:b/>
          <w:bCs/>
          <w:i/>
          <w:iCs/>
        </w:rPr>
        <w:t>Physician Burnout</w:t>
      </w:r>
    </w:p>
    <w:p w14:paraId="6156EE66" w14:textId="77777777" w:rsidR="009A2949" w:rsidRPr="00FE5EC6" w:rsidRDefault="009A2949" w:rsidP="009A2949">
      <w:pPr>
        <w:spacing w:line="276" w:lineRule="auto"/>
        <w:ind w:firstLine="720"/>
        <w:rPr>
          <w:rFonts w:ascii="Times" w:hAnsi="Times"/>
        </w:rPr>
      </w:pPr>
      <w:r w:rsidRPr="00FE5EC6">
        <w:rPr>
          <w:rFonts w:ascii="Times" w:hAnsi="Times"/>
        </w:rPr>
        <w:t xml:space="preserve">Despite burnout being well documented throughout medicine, particularly in the field of urology, instrumental changes have yet to be made throughout </w:t>
      </w:r>
      <w:proofErr w:type="gramStart"/>
      <w:r w:rsidRPr="00FE5EC6">
        <w:rPr>
          <w:rFonts w:ascii="Times" w:hAnsi="Times"/>
        </w:rPr>
        <w:t>the majority of</w:t>
      </w:r>
      <w:proofErr w:type="gramEnd"/>
      <w:r w:rsidRPr="00FE5EC6">
        <w:rPr>
          <w:rFonts w:ascii="Times" w:hAnsi="Times"/>
        </w:rPr>
        <w:t xml:space="preserve"> programs and practices. A study conducted by Chouhan et al (2018) surveyed 464 urologists regarding burnout and only 33 (7.1%) stated that their workplace had specific interventions in place to address this growing concern. </w:t>
      </w:r>
    </w:p>
    <w:p w14:paraId="5F049D77" w14:textId="77777777" w:rsidR="009A2949" w:rsidRPr="00FE5EC6" w:rsidRDefault="009A2949" w:rsidP="009A2949">
      <w:pPr>
        <w:spacing w:line="276" w:lineRule="auto"/>
        <w:ind w:firstLine="720"/>
        <w:rPr>
          <w:rFonts w:ascii="Times" w:hAnsi="Times"/>
        </w:rPr>
      </w:pPr>
      <w:r w:rsidRPr="00FE5EC6">
        <w:rPr>
          <w:rFonts w:ascii="Times" w:hAnsi="Times"/>
        </w:rPr>
        <w:t xml:space="preserve">Resources such as resilience training, support programs, structured mentorship programs and access to mental health services have been associated with a lower rate of burnout [13,15,17]. Promoting wellness in general is a low-cost change that institutions can implement </w:t>
      </w:r>
      <w:proofErr w:type="gramStart"/>
      <w:r w:rsidRPr="00FE5EC6">
        <w:rPr>
          <w:rFonts w:ascii="Times" w:hAnsi="Times"/>
        </w:rPr>
        <w:t>in order to</w:t>
      </w:r>
      <w:proofErr w:type="gramEnd"/>
      <w:r w:rsidRPr="00FE5EC6">
        <w:rPr>
          <w:rFonts w:ascii="Times" w:hAnsi="Times"/>
        </w:rPr>
        <w:t xml:space="preserve"> positively impact the lives of urologists [17]. Surgeons, in general, still have a “grit and grind” mentality and a few presentations on burnout, while instructional, does not meet the necessary requirements for properly developing skills to combat this issue. </w:t>
      </w:r>
    </w:p>
    <w:p w14:paraId="4F19BE70" w14:textId="77777777" w:rsidR="009A2949" w:rsidRPr="00FE5EC6" w:rsidRDefault="009A2949" w:rsidP="009A2949">
      <w:pPr>
        <w:spacing w:line="276" w:lineRule="auto"/>
        <w:ind w:firstLine="720"/>
        <w:rPr>
          <w:rFonts w:ascii="Times" w:hAnsi="Times"/>
        </w:rPr>
      </w:pPr>
      <w:r w:rsidRPr="00FE5EC6">
        <w:rPr>
          <w:rFonts w:ascii="Times" w:hAnsi="Times"/>
        </w:rPr>
        <w:t xml:space="preserve">More emphasis should be placed on successfully developing coping mechanisms, which can be improved through more active membership and constant communication regarding improving these skills and creating lifelong habits. Most urology programs are still quite small so </w:t>
      </w:r>
      <w:r w:rsidRPr="00FE5EC6">
        <w:rPr>
          <w:rFonts w:ascii="Times" w:hAnsi="Times"/>
        </w:rPr>
        <w:lastRenderedPageBreak/>
        <w:t xml:space="preserve">individualized attention is quite feasible. Resilience training that is personalized for every resident based on their like and dislikes would help instill stronger habits to live a healthy and balanced life. </w:t>
      </w:r>
    </w:p>
    <w:p w14:paraId="29ABB138" w14:textId="77777777" w:rsidR="009A2949" w:rsidRPr="00FE5EC6" w:rsidRDefault="009A2949" w:rsidP="009A2949">
      <w:pPr>
        <w:spacing w:line="276" w:lineRule="auto"/>
        <w:ind w:firstLine="720"/>
        <w:rPr>
          <w:rFonts w:ascii="Times" w:hAnsi="Times"/>
        </w:rPr>
      </w:pPr>
      <w:r w:rsidRPr="00FE5EC6">
        <w:rPr>
          <w:rFonts w:ascii="Times" w:hAnsi="Times"/>
        </w:rPr>
        <w:t xml:space="preserve">A key component to reducing the risk of experiencing burnout is the understanding of control.  A recent study revealed that clinicians who grasped and focused on life elements that were within their control while accepting those elements out of their control were less likely to experience burnout. [15]. In other words, selectively “choosing your battles” to ones that can be influenced and/or changed by the physician had a positive correlation to avoiding burnout [11]. Other changes such as working as a team, seeking </w:t>
      </w:r>
      <w:proofErr w:type="gramStart"/>
      <w:r w:rsidRPr="00FE5EC6">
        <w:rPr>
          <w:rFonts w:ascii="Times" w:hAnsi="Times"/>
        </w:rPr>
        <w:t>advice</w:t>
      </w:r>
      <w:proofErr w:type="gramEnd"/>
      <w:r w:rsidRPr="00FE5EC6">
        <w:rPr>
          <w:rFonts w:ascii="Times" w:hAnsi="Times"/>
        </w:rPr>
        <w:t xml:space="preserve"> and reading a non-medical book once per month have also been shown to mitigate the occurrence of burnout [13,15,17]. </w:t>
      </w:r>
    </w:p>
    <w:p w14:paraId="3ABA85B7" w14:textId="77777777" w:rsidR="009A2949" w:rsidRPr="00FE5EC6" w:rsidRDefault="009A2949" w:rsidP="009A2949">
      <w:pPr>
        <w:spacing w:line="276" w:lineRule="auto"/>
        <w:ind w:firstLine="720"/>
        <w:rPr>
          <w:rFonts w:ascii="Times" w:hAnsi="Times"/>
        </w:rPr>
      </w:pPr>
      <w:r w:rsidRPr="00FE5EC6">
        <w:rPr>
          <w:rFonts w:ascii="Times" w:hAnsi="Times"/>
        </w:rPr>
        <w:t xml:space="preserve">Assuredly, urology as an entire specialty should seek to </w:t>
      </w:r>
      <w:proofErr w:type="gramStart"/>
      <w:r w:rsidRPr="00FE5EC6">
        <w:rPr>
          <w:rFonts w:ascii="Times" w:hAnsi="Times"/>
        </w:rPr>
        <w:t>take action</w:t>
      </w:r>
      <w:proofErr w:type="gramEnd"/>
      <w:r w:rsidRPr="00FE5EC6">
        <w:rPr>
          <w:rFonts w:ascii="Times" w:hAnsi="Times"/>
        </w:rPr>
        <w:t xml:space="preserve"> towards mitigating burnout within the field. This imperative </w:t>
      </w:r>
      <w:proofErr w:type="gramStart"/>
      <w:r w:rsidRPr="00FE5EC6">
        <w:rPr>
          <w:rFonts w:ascii="Times" w:hAnsi="Times"/>
        </w:rPr>
        <w:t>has the ability to</w:t>
      </w:r>
      <w:proofErr w:type="gramEnd"/>
      <w:r w:rsidRPr="00FE5EC6">
        <w:rPr>
          <w:rFonts w:ascii="Times" w:hAnsi="Times"/>
        </w:rPr>
        <w:t xml:space="preserve"> retain more clinicians, recruit future urologists and directly combat the expected shortage of 3,880 urologists by 2030 that is currently projected [38,22]. </w:t>
      </w:r>
    </w:p>
    <w:p w14:paraId="20A88530" w14:textId="77777777" w:rsidR="009A2949" w:rsidRPr="00FE5EC6" w:rsidRDefault="009A2949" w:rsidP="009A2949">
      <w:pPr>
        <w:spacing w:line="276" w:lineRule="auto"/>
        <w:ind w:firstLine="720"/>
        <w:rPr>
          <w:rFonts w:ascii="Times" w:hAnsi="Times"/>
        </w:rPr>
      </w:pPr>
    </w:p>
    <w:p w14:paraId="7C0A55C1" w14:textId="77777777" w:rsidR="009A2949" w:rsidRPr="00FE5EC6" w:rsidRDefault="009A2949" w:rsidP="009A2949">
      <w:pPr>
        <w:spacing w:line="276" w:lineRule="auto"/>
        <w:rPr>
          <w:rFonts w:ascii="Times" w:hAnsi="Times"/>
          <w:b/>
          <w:bCs/>
          <w:i/>
          <w:iCs/>
        </w:rPr>
      </w:pPr>
      <w:r w:rsidRPr="00FE5EC6">
        <w:rPr>
          <w:rFonts w:ascii="Times" w:hAnsi="Times"/>
          <w:b/>
          <w:bCs/>
          <w:i/>
          <w:iCs/>
        </w:rPr>
        <w:t>Physician Parents in Academia</w:t>
      </w:r>
    </w:p>
    <w:p w14:paraId="3388CCB8" w14:textId="77777777" w:rsidR="009A2949" w:rsidRPr="00FE5EC6" w:rsidRDefault="009A2949" w:rsidP="009A2949">
      <w:pPr>
        <w:spacing w:line="276" w:lineRule="auto"/>
        <w:rPr>
          <w:rFonts w:ascii="Times" w:hAnsi="Times"/>
        </w:rPr>
      </w:pPr>
      <w:r w:rsidRPr="00FE5EC6">
        <w:rPr>
          <w:rFonts w:ascii="Times" w:hAnsi="Times"/>
        </w:rPr>
        <w:tab/>
        <w:t>Options that provide career flexibility with a more desirable work-life balance present as attractive options to recruited candidates. An example of work options that are currently implemented throughout the medical community include but are not limited to: availability of part-time work, alternative work schedules, leave for family care and childbearing, and extensions regarding the timing for tenure [26]. The presence of such policies has proven to be key in recruiting and retaining physicians within academic medicine and therefore, academic institutions should examine the expansion of the traditional work week and model [26]. The widespread presence within academic institutions of easily accessible childcare that can adapt to the long and often volatile hours of physicians with extended care hours and drop-in availability would dissuade worries of finding adequate childcare in the pursuit of career betterment and/or fulfillment. Physicians who become or are parents in residency often contend with frequently arriving late to a closing childcare facility or scrambling to find adequate care.  Residents who may not enter parenthood in residency but who witness the frustrations of their counterparts may be equally deterred from academia assuming that possibly awaiting frustration will be the norm. The idea of an academic institution with the foresight to provide childcare commensurate with the career hours of a physician presents more as a partner in total career fulfillment rather than one that stands in contrast to a physician’s personal fulfillment. [25]. The modern era requires consideration of the working parent along with acknowledgement that both men and women are now more focused on achieving a desirable work-life balance.</w:t>
      </w:r>
    </w:p>
    <w:p w14:paraId="22226F36" w14:textId="77777777" w:rsidR="009A2949" w:rsidRPr="00FE5EC6" w:rsidRDefault="009A2949" w:rsidP="009A2949">
      <w:pPr>
        <w:spacing w:line="276" w:lineRule="auto"/>
        <w:rPr>
          <w:rFonts w:ascii="Times" w:hAnsi="Times"/>
        </w:rPr>
      </w:pPr>
    </w:p>
    <w:p w14:paraId="1E111F38" w14:textId="77777777" w:rsidR="009A2949" w:rsidRPr="00FE5EC6" w:rsidRDefault="009A2949" w:rsidP="009A2949">
      <w:pPr>
        <w:spacing w:line="276" w:lineRule="auto"/>
        <w:rPr>
          <w:rFonts w:ascii="Times" w:hAnsi="Times"/>
          <w:b/>
          <w:bCs/>
          <w:i/>
          <w:iCs/>
        </w:rPr>
      </w:pPr>
      <w:r w:rsidRPr="00FE5EC6">
        <w:rPr>
          <w:rFonts w:ascii="Times" w:hAnsi="Times"/>
          <w:b/>
          <w:bCs/>
          <w:i/>
          <w:iCs/>
        </w:rPr>
        <w:t>Triple Threat Concept</w:t>
      </w:r>
    </w:p>
    <w:p w14:paraId="11E76E74" w14:textId="77777777" w:rsidR="009A2949" w:rsidRPr="00FE5EC6" w:rsidRDefault="009A2949" w:rsidP="009A2949">
      <w:pPr>
        <w:spacing w:line="276" w:lineRule="auto"/>
        <w:ind w:firstLine="720"/>
        <w:rPr>
          <w:rFonts w:ascii="Times" w:hAnsi="Times"/>
        </w:rPr>
      </w:pPr>
      <w:r w:rsidRPr="00FE5EC6">
        <w:rPr>
          <w:rFonts w:ascii="Times" w:hAnsi="Times"/>
        </w:rPr>
        <w:t xml:space="preserve">Although the flaws of the triple threat concept have been exposed, many within the academic community feel the pressure to strive towards this ideal. Currently, the robust breadth of information and expectations within each arm of the triple-threat presents as an unrealistic aim </w:t>
      </w:r>
      <w:r w:rsidRPr="00FE5EC6">
        <w:rPr>
          <w:rFonts w:ascii="Times" w:hAnsi="Times"/>
        </w:rPr>
        <w:lastRenderedPageBreak/>
        <w:t xml:space="preserve">in achieving not only competency but excellence in each of the three domains. Focus should be shifted from viewing this as a goal to be achieved by a single individual to a divisional one instead. The well-known adage “divide and conquer” is certainly apropos in this matter. Encourage members within the department to pursue areas of interest that they are both most passionate about and best suited for [28]. Implement communication strategies to facilitate an effective exchange of information allowing individuals who possesses expert knowledge in each arm to benefit from one another [39]. Transforming the pursuit of the triple-threat to a divisional goal presents as a reflection of the current wealth of information in medicine and as a representation of the evolution of the acquisition and dissemination of this vast knowledge. </w:t>
      </w:r>
    </w:p>
    <w:p w14:paraId="76851A13" w14:textId="77777777" w:rsidR="009A2949" w:rsidRPr="00FE5EC6" w:rsidRDefault="009A2949" w:rsidP="009A2949">
      <w:pPr>
        <w:spacing w:line="276" w:lineRule="auto"/>
        <w:ind w:firstLine="720"/>
        <w:rPr>
          <w:rFonts w:ascii="Times" w:hAnsi="Times"/>
        </w:rPr>
      </w:pPr>
    </w:p>
    <w:p w14:paraId="6B46451C" w14:textId="77777777" w:rsidR="009A2949" w:rsidRPr="00FE5EC6" w:rsidRDefault="009A2949" w:rsidP="009A2949">
      <w:pPr>
        <w:spacing w:line="276" w:lineRule="auto"/>
        <w:rPr>
          <w:rFonts w:ascii="Times" w:hAnsi="Times"/>
          <w:b/>
          <w:bCs/>
          <w:u w:val="single"/>
        </w:rPr>
      </w:pPr>
      <w:r w:rsidRPr="00FE5EC6">
        <w:rPr>
          <w:rFonts w:ascii="Times" w:hAnsi="Times"/>
          <w:b/>
          <w:bCs/>
          <w:u w:val="single"/>
        </w:rPr>
        <w:t>Conclusions</w:t>
      </w:r>
      <w:r>
        <w:rPr>
          <w:rFonts w:ascii="Times" w:hAnsi="Times"/>
          <w:b/>
          <w:bCs/>
          <w:u w:val="single"/>
        </w:rPr>
        <w:t>:</w:t>
      </w:r>
    </w:p>
    <w:p w14:paraId="01D626E8" w14:textId="77777777" w:rsidR="009A2949" w:rsidRPr="00FE5EC6" w:rsidRDefault="009A2949" w:rsidP="009A2949">
      <w:pPr>
        <w:spacing w:line="276" w:lineRule="auto"/>
        <w:rPr>
          <w:rFonts w:ascii="Times" w:hAnsi="Times"/>
          <w:b/>
          <w:bCs/>
          <w:u w:val="single"/>
        </w:rPr>
      </w:pPr>
    </w:p>
    <w:p w14:paraId="0F9F3CC5" w14:textId="77777777" w:rsidR="009A2949" w:rsidRPr="00FE5EC6" w:rsidRDefault="009A2949" w:rsidP="009A2949">
      <w:pPr>
        <w:spacing w:line="276" w:lineRule="auto"/>
        <w:ind w:firstLine="720"/>
        <w:rPr>
          <w:rFonts w:ascii="Times" w:hAnsi="Times"/>
        </w:rPr>
      </w:pPr>
      <w:r w:rsidRPr="00FE5EC6">
        <w:rPr>
          <w:rFonts w:ascii="Times" w:hAnsi="Times"/>
        </w:rPr>
        <w:t xml:space="preserve">The obstacles that challenge the future recruitment of urologists into academic medicine are not insurmountable. Identifying and implementing methods of improvement, targeted at overcoming current barriers is paramount to preserving this endangered field. Fostering healthy work environments, providing adequate resources, offering research experience, placing emphasis on quality mentorship, and striving towards increased career flexibility are several tactics that can be employed. Initiating these changes reflects the need and desire to re-envision an ever progressing and evolving construct of academia. Our best, </w:t>
      </w:r>
      <w:proofErr w:type="gramStart"/>
      <w:r w:rsidRPr="00FE5EC6">
        <w:rPr>
          <w:rFonts w:ascii="Times" w:hAnsi="Times"/>
        </w:rPr>
        <w:t>brightest</w:t>
      </w:r>
      <w:proofErr w:type="gramEnd"/>
      <w:r w:rsidRPr="00FE5EC6">
        <w:rPr>
          <w:rFonts w:ascii="Times" w:hAnsi="Times"/>
        </w:rPr>
        <w:t xml:space="preserve"> and most passionate should witness the joy of academic medicine in their journey to contribute to the specialty’s growth of knowledge and application. We </w:t>
      </w:r>
      <w:proofErr w:type="gramStart"/>
      <w:r w:rsidRPr="00FE5EC6">
        <w:rPr>
          <w:rFonts w:ascii="Times" w:hAnsi="Times"/>
        </w:rPr>
        <w:t>have the ability to</w:t>
      </w:r>
      <w:proofErr w:type="gramEnd"/>
      <w:r w:rsidRPr="00FE5EC6">
        <w:rPr>
          <w:rFonts w:ascii="Times" w:hAnsi="Times"/>
        </w:rPr>
        <w:t xml:space="preserve"> remove barriers, inspire careers and contribute to the achievement of career goals while reducing burnout. Regardless of what career path urologic residents ultimately choose, striving to provide a post-graduate educational experience with those aims is worth pursuing and we believe the issues listed previously can be improved by addressing them and with the </w:t>
      </w:r>
      <w:proofErr w:type="gramStart"/>
      <w:r w:rsidRPr="00FE5EC6">
        <w:rPr>
          <w:rFonts w:ascii="Times" w:hAnsi="Times"/>
        </w:rPr>
        <w:t>aforementioned recommendations</w:t>
      </w:r>
      <w:proofErr w:type="gramEnd"/>
      <w:r w:rsidRPr="00FE5EC6">
        <w:rPr>
          <w:rFonts w:ascii="Times" w:hAnsi="Times"/>
        </w:rPr>
        <w:t xml:space="preserve">. </w:t>
      </w:r>
    </w:p>
    <w:p w14:paraId="6AEB04AB" w14:textId="77777777" w:rsidR="009A2949" w:rsidRPr="00FE5EC6" w:rsidRDefault="009A2949" w:rsidP="009A2949">
      <w:pPr>
        <w:spacing w:line="360" w:lineRule="auto"/>
        <w:rPr>
          <w:rFonts w:ascii="Times" w:hAnsi="Times"/>
        </w:rPr>
      </w:pPr>
    </w:p>
    <w:p w14:paraId="551F0051" w14:textId="77777777" w:rsidR="009A2949" w:rsidRPr="00FE5EC6" w:rsidRDefault="009A2949" w:rsidP="009A2949">
      <w:pPr>
        <w:spacing w:line="276" w:lineRule="auto"/>
        <w:rPr>
          <w:rFonts w:ascii="Times" w:hAnsi="Times"/>
          <w:b/>
          <w:bCs/>
          <w:u w:val="single"/>
        </w:rPr>
      </w:pPr>
      <w:r w:rsidRPr="00FE5EC6">
        <w:rPr>
          <w:rFonts w:ascii="Times" w:hAnsi="Times"/>
          <w:b/>
          <w:bCs/>
          <w:u w:val="single"/>
        </w:rPr>
        <w:t>References</w:t>
      </w:r>
      <w:r>
        <w:rPr>
          <w:rFonts w:ascii="Times" w:hAnsi="Times"/>
          <w:b/>
          <w:bCs/>
          <w:u w:val="single"/>
        </w:rPr>
        <w:t>:</w:t>
      </w:r>
    </w:p>
    <w:p w14:paraId="215C085B"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Lowenstein S, Fernandez G, and Crane L (2007). Medical school faculty discontent: prevalence and predictors of intent to leave academic careers. </w:t>
      </w:r>
      <w:r w:rsidRPr="00FE5EC6">
        <w:rPr>
          <w:rFonts w:ascii="Times" w:hAnsi="Times"/>
          <w:i/>
          <w:iCs/>
        </w:rPr>
        <w:t>BMC Medical Education</w:t>
      </w:r>
      <w:r w:rsidRPr="00FE5EC6">
        <w:rPr>
          <w:rFonts w:ascii="Times" w:hAnsi="Times"/>
        </w:rPr>
        <w:t xml:space="preserve">, 7: 37. </w:t>
      </w:r>
    </w:p>
    <w:p w14:paraId="62B9583C"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American Urologic Association (2019). Urology Residents in the United States and Across the Globe 2016-2018. Available from: AUAnet.org/common/pdf/research/census/Urology-Residents-In-the-United-States-and-Across-the-Globe-2016-2018.pdf.</w:t>
      </w:r>
    </w:p>
    <w:p w14:paraId="7B7AD314"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Lightfoot, AJ, Rosevear HM, Steers WD, Tracy CR. Current and future need for academic urologists in the United States. </w:t>
      </w:r>
      <w:r w:rsidRPr="00FE5EC6">
        <w:rPr>
          <w:rFonts w:ascii="Times" w:hAnsi="Times"/>
          <w:i/>
          <w:iCs/>
        </w:rPr>
        <w:t>Journal of Urology</w:t>
      </w:r>
      <w:r w:rsidRPr="00FE5EC6">
        <w:rPr>
          <w:rFonts w:ascii="Times" w:hAnsi="Times"/>
        </w:rPr>
        <w:t xml:space="preserve">, 2011: 185(6): 2283-2287. </w:t>
      </w:r>
    </w:p>
    <w:p w14:paraId="3200ABF0"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Haas G and Wang C (2009). Inspiring urology trainees to enter academic careers. </w:t>
      </w:r>
      <w:r w:rsidRPr="00FE5EC6">
        <w:rPr>
          <w:rFonts w:ascii="Times" w:hAnsi="Times"/>
          <w:i/>
          <w:iCs/>
        </w:rPr>
        <w:t>Indian Journal of Urology</w:t>
      </w:r>
      <w:r w:rsidRPr="00FE5EC6">
        <w:rPr>
          <w:rFonts w:ascii="Times" w:hAnsi="Times"/>
        </w:rPr>
        <w:t xml:space="preserve">, 25(2): 237-240. </w:t>
      </w:r>
    </w:p>
    <w:p w14:paraId="5ED0F1D3"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lastRenderedPageBreak/>
        <w:t xml:space="preserve">Greenberg R, Ziegler C, Borges N et al (2013). Medical student interest in academic medical careers: a multi-institutional study. </w:t>
      </w:r>
      <w:r w:rsidRPr="00FE5EC6">
        <w:rPr>
          <w:rFonts w:ascii="Times" w:hAnsi="Times"/>
          <w:i/>
          <w:iCs/>
        </w:rPr>
        <w:t>Perspectives on Medical Education</w:t>
      </w:r>
      <w:r w:rsidRPr="00FE5EC6">
        <w:rPr>
          <w:rFonts w:ascii="Times" w:hAnsi="Times"/>
        </w:rPr>
        <w:t xml:space="preserve"> 2: 298-316. </w:t>
      </w:r>
    </w:p>
    <w:p w14:paraId="10DA0B1D"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Greysen R, Chen C, and Mullan F (2011). A history of Medical Student Debt: Observations and Implications for the Future of Medical Education. </w:t>
      </w:r>
      <w:r w:rsidRPr="00FE5EC6">
        <w:rPr>
          <w:rFonts w:ascii="Times" w:hAnsi="Times"/>
          <w:i/>
          <w:iCs/>
        </w:rPr>
        <w:t>Academic Medicine</w:t>
      </w:r>
      <w:r w:rsidRPr="00FE5EC6">
        <w:rPr>
          <w:rFonts w:ascii="Times" w:hAnsi="Times"/>
        </w:rPr>
        <w:t xml:space="preserve">, 86: 840-845. </w:t>
      </w:r>
    </w:p>
    <w:p w14:paraId="17E91AC0"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Bazolli GJ (1985). Medical Education Indebtedness: Does It Affect Physician Specialty Choice? </w:t>
      </w:r>
      <w:r w:rsidRPr="00FE5EC6">
        <w:rPr>
          <w:rFonts w:ascii="Times" w:hAnsi="Times"/>
          <w:i/>
          <w:iCs/>
        </w:rPr>
        <w:t>Health Affairs</w:t>
      </w:r>
      <w:r w:rsidRPr="00FE5EC6">
        <w:rPr>
          <w:rFonts w:ascii="Times" w:hAnsi="Times"/>
        </w:rPr>
        <w:t xml:space="preserve">, 4(2): 98-104. </w:t>
      </w:r>
    </w:p>
    <w:p w14:paraId="64B3E89A"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AAMC. Medical Student Education: Debt, Costs and Loan Repayment Fact Card. October 2019. Available from: https://store.aamc.org/downloadable/download/sample/sample_id/296/</w:t>
      </w:r>
    </w:p>
    <w:p w14:paraId="64EF4644"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Fox, M (2003). Medical student indebtedness and the propensity to enter academic medicine. </w:t>
      </w:r>
      <w:r w:rsidRPr="00FE5EC6">
        <w:rPr>
          <w:rFonts w:ascii="Times" w:hAnsi="Times"/>
          <w:i/>
          <w:iCs/>
        </w:rPr>
        <w:t xml:space="preserve">Health economics, </w:t>
      </w:r>
      <w:r w:rsidRPr="00FE5EC6">
        <w:rPr>
          <w:rFonts w:ascii="Times" w:hAnsi="Times"/>
        </w:rPr>
        <w:t xml:space="preserve">12: 101-112. </w:t>
      </w:r>
    </w:p>
    <w:p w14:paraId="4A67953D"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DeFroda SF, Shah KN, Safdar O, Mulcahey MK (2018). Trends in research productivity of residents applying for orthopedic sports medicine fellowship. </w:t>
      </w:r>
      <w:r w:rsidRPr="00FE5EC6">
        <w:rPr>
          <w:rFonts w:ascii="Times" w:hAnsi="Times"/>
          <w:i/>
          <w:iCs/>
        </w:rPr>
        <w:t>Phys Sportsmed</w:t>
      </w:r>
      <w:r w:rsidRPr="00FE5EC6">
        <w:rPr>
          <w:rFonts w:ascii="Times" w:hAnsi="Times"/>
        </w:rPr>
        <w:t xml:space="preserve">, 46(1): 61-65. </w:t>
      </w:r>
    </w:p>
    <w:p w14:paraId="02D52CA4"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Freilich D, Nguyen H, and Phillips J (2011). Factors Influencing Residents’ Pursuit of Urology Fellowships. </w:t>
      </w:r>
      <w:r w:rsidRPr="00FE5EC6">
        <w:rPr>
          <w:rFonts w:ascii="Times" w:hAnsi="Times"/>
          <w:i/>
          <w:iCs/>
        </w:rPr>
        <w:t xml:space="preserve">Journal of Urology, </w:t>
      </w:r>
      <w:r w:rsidRPr="00FE5EC6">
        <w:rPr>
          <w:rFonts w:ascii="Times" w:hAnsi="Times"/>
        </w:rPr>
        <w:t xml:space="preserve">78 (5): 986-992. </w:t>
      </w:r>
    </w:p>
    <w:p w14:paraId="471E3D22"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Lin S, Nguyen C, Walters E, and Gordon P (2018). Residents’ Perspectives on Careers in Academic Medicine: Obstacles and Opportunities. </w:t>
      </w:r>
      <w:r w:rsidRPr="00FE5EC6">
        <w:rPr>
          <w:rFonts w:ascii="Times" w:hAnsi="Times"/>
          <w:i/>
          <w:iCs/>
        </w:rPr>
        <w:t>Family Medicine</w:t>
      </w:r>
      <w:r w:rsidRPr="00FE5EC6">
        <w:rPr>
          <w:rFonts w:ascii="Times" w:hAnsi="Times"/>
        </w:rPr>
        <w:t xml:space="preserve">: 50 (3): 204-211. </w:t>
      </w:r>
    </w:p>
    <w:p w14:paraId="6E1C2BF9"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Rodriquez-Socarras M, Kingo P, Uvin P et al (2020). Lifestyle among urology trainees and young urologist in the context of burn-out syndrome. </w:t>
      </w:r>
      <w:r w:rsidRPr="00FE5EC6">
        <w:rPr>
          <w:rFonts w:ascii="Times" w:hAnsi="Times"/>
          <w:i/>
          <w:iCs/>
        </w:rPr>
        <w:t>Actas Urology Espanolas</w:t>
      </w:r>
      <w:r w:rsidRPr="00FE5EC6">
        <w:rPr>
          <w:rFonts w:ascii="Times" w:hAnsi="Times"/>
        </w:rPr>
        <w:t xml:space="preserve">, 44(1): 19-26. </w:t>
      </w:r>
    </w:p>
    <w:p w14:paraId="49CFF282"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Blanksetin U (2018). Physician Burnout within Urology: Results of the AUA Residents and Fellows Committee Essay Contest. </w:t>
      </w:r>
      <w:r w:rsidRPr="00FE5EC6">
        <w:rPr>
          <w:rFonts w:ascii="Times" w:hAnsi="Times"/>
          <w:i/>
          <w:iCs/>
        </w:rPr>
        <w:t>Journal of Urology</w:t>
      </w:r>
      <w:r w:rsidRPr="00FE5EC6">
        <w:rPr>
          <w:rFonts w:ascii="Times" w:hAnsi="Times"/>
        </w:rPr>
        <w:t xml:space="preserve">, 202: 219-220. </w:t>
      </w:r>
    </w:p>
    <w:p w14:paraId="4997333A"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Franc-Guimond J, McNeil B, Schlossberg S et al (2018). Urologist burnout: Frequency, causes, and potential solutions to an unspoken entity. </w:t>
      </w:r>
      <w:r w:rsidRPr="00FE5EC6">
        <w:rPr>
          <w:rFonts w:ascii="Times" w:hAnsi="Times"/>
          <w:i/>
          <w:iCs/>
        </w:rPr>
        <w:t>Canadian Urological Association Journal</w:t>
      </w:r>
      <w:r w:rsidRPr="00FE5EC6">
        <w:rPr>
          <w:rFonts w:ascii="Times" w:hAnsi="Times"/>
        </w:rPr>
        <w:t xml:space="preserve">, 12 (4): 137-142. </w:t>
      </w:r>
    </w:p>
    <w:p w14:paraId="48951548"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Dyrbye L, Burke S, Hardeman R et al (2018). Association of Clinical Specialty with Symptoms of Burnout and Career Choice Regret Among US Resident Physicians. </w:t>
      </w:r>
      <w:r w:rsidRPr="00FE5EC6">
        <w:rPr>
          <w:rFonts w:ascii="Times" w:hAnsi="Times"/>
          <w:i/>
          <w:iCs/>
        </w:rPr>
        <w:t>JAMA</w:t>
      </w:r>
      <w:r w:rsidRPr="00FE5EC6">
        <w:rPr>
          <w:rFonts w:ascii="Times" w:hAnsi="Times"/>
        </w:rPr>
        <w:t xml:space="preserve">, 320 (11): 1114-1130. </w:t>
      </w:r>
    </w:p>
    <w:p w14:paraId="1A5E4380"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Marchalik D, Goldman C Carvalho F et al (2019). Resident burnout in USA and European urology residents: an international concern. </w:t>
      </w:r>
      <w:r w:rsidRPr="00FE5EC6">
        <w:rPr>
          <w:rFonts w:ascii="Times" w:hAnsi="Times"/>
          <w:i/>
          <w:iCs/>
        </w:rPr>
        <w:t>BJU International</w:t>
      </w:r>
      <w:r w:rsidRPr="00FE5EC6">
        <w:rPr>
          <w:rFonts w:ascii="Times" w:hAnsi="Times"/>
        </w:rPr>
        <w:t>, 124: 349-356.</w:t>
      </w:r>
    </w:p>
    <w:p w14:paraId="2D503EE6"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Bare TE, Feraco AM, Tuysuzoglu Sagalowsky S et al (2017). Pediatric Resident Burnout and Attitudes Toward Patients. </w:t>
      </w:r>
      <w:r w:rsidRPr="00FE5EC6">
        <w:rPr>
          <w:rFonts w:ascii="Times" w:hAnsi="Times"/>
          <w:i/>
          <w:iCs/>
        </w:rPr>
        <w:t>Pediatrics</w:t>
      </w:r>
      <w:r w:rsidRPr="00FE5EC6">
        <w:rPr>
          <w:rFonts w:ascii="Times" w:hAnsi="Times"/>
        </w:rPr>
        <w:t>, 139(3</w:t>
      </w:r>
      <w:proofErr w:type="gramStart"/>
      <w:r w:rsidRPr="00FE5EC6">
        <w:rPr>
          <w:rFonts w:ascii="Times" w:hAnsi="Times"/>
        </w:rPr>
        <w:t>):e</w:t>
      </w:r>
      <w:proofErr w:type="gramEnd"/>
      <w:r w:rsidRPr="00FE5EC6">
        <w:rPr>
          <w:rFonts w:ascii="Times" w:hAnsi="Times"/>
        </w:rPr>
        <w:t xml:space="preserve">20162163. </w:t>
      </w:r>
    </w:p>
    <w:p w14:paraId="7A89B646"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Reed L, Mamidala M, Stocks R et al (2020). Factors Correlating to Burnout among Otolaryngology Residents. </w:t>
      </w:r>
      <w:r w:rsidRPr="00FE5EC6">
        <w:rPr>
          <w:rFonts w:ascii="Times" w:hAnsi="Times"/>
          <w:i/>
          <w:iCs/>
        </w:rPr>
        <w:t>Ann Otol Rhinol Laryngol</w:t>
      </w:r>
      <w:r w:rsidRPr="00FE5EC6">
        <w:rPr>
          <w:rFonts w:ascii="Times" w:hAnsi="Times"/>
        </w:rPr>
        <w:t xml:space="preserve">, 129(6):599-604. </w:t>
      </w:r>
    </w:p>
    <w:p w14:paraId="10228887"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Lally P, van Jaarsveld CHM, Potts HWW et al (2010). How are habits formed: Modeling habit formation in the real world. </w:t>
      </w:r>
      <w:r w:rsidRPr="00FE5EC6">
        <w:rPr>
          <w:rFonts w:ascii="Times" w:hAnsi="Times"/>
          <w:i/>
          <w:iCs/>
        </w:rPr>
        <w:t>European Journal of Social Psychology</w:t>
      </w:r>
      <w:r w:rsidRPr="00FE5EC6">
        <w:rPr>
          <w:rFonts w:ascii="Times" w:hAnsi="Times"/>
        </w:rPr>
        <w:t xml:space="preserve">, 40(6): 998-1009. </w:t>
      </w:r>
    </w:p>
    <w:p w14:paraId="17DC6881"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color w:val="000000"/>
          <w:shd w:val="clear" w:color="auto" w:fill="FFFFFF"/>
        </w:rPr>
        <w:lastRenderedPageBreak/>
        <w:t>Shanafelt TD, Hasan O, Dyrbye LN et al (2015). Changes in burnout and satisfaction with work-life balance in physicians and the general U.S. working population between 2011 and 2014.</w:t>
      </w:r>
      <w:r w:rsidRPr="00FE5EC6">
        <w:rPr>
          <w:rStyle w:val="apple-converted-space"/>
          <w:rFonts w:ascii="Times" w:hAnsi="Times"/>
          <w:color w:val="000000"/>
          <w:shd w:val="clear" w:color="auto" w:fill="FFFFFF"/>
        </w:rPr>
        <w:t> </w:t>
      </w:r>
      <w:r w:rsidRPr="00FE5EC6">
        <w:rPr>
          <w:rStyle w:val="ref-journal"/>
          <w:rFonts w:ascii="Times" w:hAnsi="Times"/>
          <w:i/>
          <w:iCs/>
          <w:color w:val="000000"/>
        </w:rPr>
        <w:t>Mayo Clin Proc</w:t>
      </w:r>
      <w:r w:rsidRPr="00FE5EC6">
        <w:rPr>
          <w:rStyle w:val="ref-journal"/>
          <w:rFonts w:ascii="Times" w:hAnsi="Times"/>
          <w:color w:val="000000"/>
        </w:rPr>
        <w:t>,</w:t>
      </w:r>
      <w:r w:rsidRPr="00FE5EC6">
        <w:rPr>
          <w:rStyle w:val="ref-vol"/>
          <w:rFonts w:ascii="Times" w:hAnsi="Times"/>
          <w:color w:val="000000"/>
        </w:rPr>
        <w:t xml:space="preserve"> 90</w:t>
      </w:r>
      <w:r w:rsidRPr="00FE5EC6">
        <w:rPr>
          <w:rFonts w:ascii="Times" w:hAnsi="Times"/>
          <w:color w:val="000000"/>
        </w:rPr>
        <w:t>:1600–13.</w:t>
      </w:r>
    </w:p>
    <w:p w14:paraId="7DA1DEF2"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North A, McKenna P, Fang R et al (2017). Burnout in Urology: Findings from the 2016 AUA Annual Census. </w:t>
      </w:r>
      <w:r w:rsidRPr="00FE5EC6">
        <w:rPr>
          <w:rFonts w:ascii="Times" w:hAnsi="Times"/>
          <w:i/>
          <w:iCs/>
        </w:rPr>
        <w:t>Journal of Urology</w:t>
      </w:r>
      <w:r w:rsidRPr="00FE5EC6">
        <w:rPr>
          <w:rFonts w:ascii="Times" w:hAnsi="Times"/>
        </w:rPr>
        <w:t xml:space="preserve">. Available from: </w:t>
      </w:r>
    </w:p>
    <w:p w14:paraId="45F2F20F" w14:textId="77777777" w:rsidR="009A2949" w:rsidRPr="00FE5EC6" w:rsidRDefault="009A2949" w:rsidP="009A2949">
      <w:pPr>
        <w:pStyle w:val="ListParagraph"/>
        <w:spacing w:line="276" w:lineRule="auto"/>
        <w:rPr>
          <w:rFonts w:ascii="Times" w:hAnsi="Times"/>
        </w:rPr>
      </w:pPr>
      <w:r w:rsidRPr="00FE5EC6">
        <w:rPr>
          <w:rFonts w:ascii="Times" w:hAnsi="Times"/>
          <w:spacing w:val="12"/>
        </w:rPr>
        <w:t>https://doi.org/10.1016/j.urpr.2017.11.004</w:t>
      </w:r>
    </w:p>
    <w:p w14:paraId="143D04F1"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Chouhan J, Jones A, and Murray K (2018). Assessing Reasons for Urologist Burnout, its Implications, and Possible Interventions. </w:t>
      </w:r>
      <w:r w:rsidRPr="00FE5EC6">
        <w:rPr>
          <w:rFonts w:ascii="Times" w:hAnsi="Times"/>
          <w:i/>
          <w:iCs/>
        </w:rPr>
        <w:t xml:space="preserve">JACS, </w:t>
      </w:r>
      <w:r w:rsidRPr="00FE5EC6">
        <w:rPr>
          <w:rFonts w:ascii="Times" w:hAnsi="Times"/>
        </w:rPr>
        <w:t xml:space="preserve">227 (4): 279. </w:t>
      </w:r>
    </w:p>
    <w:p w14:paraId="03F33CB7"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Rothenberge DA (2017). Physician Burnout and Well-Being: A Systematic Review and Framework for Action. </w:t>
      </w:r>
      <w:r w:rsidRPr="00FE5EC6">
        <w:rPr>
          <w:rFonts w:ascii="Times" w:hAnsi="Times"/>
          <w:i/>
          <w:iCs/>
        </w:rPr>
        <w:t>Dis Colon Rectum</w:t>
      </w:r>
      <w:r w:rsidRPr="00FE5EC6">
        <w:rPr>
          <w:rFonts w:ascii="Times" w:hAnsi="Times"/>
        </w:rPr>
        <w:t xml:space="preserve">, 60(6): 567-576. </w:t>
      </w:r>
    </w:p>
    <w:p w14:paraId="256CDD92"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Snyder R, Tarpley M, Phillips S and Terhune K (2013). The Case for On-Site Child Care in Residency Training and Afterward. </w:t>
      </w:r>
      <w:r w:rsidRPr="00FE5EC6">
        <w:rPr>
          <w:rFonts w:ascii="Times" w:hAnsi="Times"/>
          <w:i/>
          <w:iCs/>
        </w:rPr>
        <w:t>Journal of Graduate Medical Education</w:t>
      </w:r>
      <w:r w:rsidRPr="00FE5EC6">
        <w:rPr>
          <w:rFonts w:ascii="Times" w:hAnsi="Times"/>
        </w:rPr>
        <w:t xml:space="preserve">, 5(3): 365-367. </w:t>
      </w:r>
    </w:p>
    <w:p w14:paraId="5C7D0081"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Howell L, Beckett L, Villablanca A et al (2017). Ideal Worker and Academic Professional Identity: Perspective from a Career Flexibility Educational Intervention. </w:t>
      </w:r>
      <w:r w:rsidRPr="00FE5EC6">
        <w:rPr>
          <w:rFonts w:ascii="Times" w:hAnsi="Times"/>
          <w:i/>
          <w:iCs/>
        </w:rPr>
        <w:t>Alliance for Academic Internal Medicine</w:t>
      </w:r>
      <w:r w:rsidRPr="00FE5EC6">
        <w:rPr>
          <w:rFonts w:ascii="Times" w:hAnsi="Times"/>
        </w:rPr>
        <w:t xml:space="preserve">, 130 (9): 1117-1125. </w:t>
      </w:r>
    </w:p>
    <w:p w14:paraId="4289463B"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Centor R (2002). Erstwhile Triple Threat. </w:t>
      </w:r>
      <w:r w:rsidRPr="00FE5EC6">
        <w:rPr>
          <w:rFonts w:ascii="Times" w:hAnsi="Times"/>
          <w:i/>
          <w:iCs/>
        </w:rPr>
        <w:t>Journal of General Internal Medicine</w:t>
      </w:r>
      <w:r w:rsidRPr="00FE5EC6">
        <w:rPr>
          <w:rFonts w:ascii="Times" w:hAnsi="Times"/>
        </w:rPr>
        <w:t xml:space="preserve">, 17: 572-573. </w:t>
      </w:r>
    </w:p>
    <w:p w14:paraId="27581875"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Alpert J and Coles R (1988). Careers in Academic Medicine: Triple Threat or Double Fake. </w:t>
      </w:r>
      <w:r w:rsidRPr="00FE5EC6">
        <w:rPr>
          <w:rFonts w:ascii="Times" w:hAnsi="Times"/>
          <w:i/>
          <w:iCs/>
        </w:rPr>
        <w:t>Archives of Internal Medicine</w:t>
      </w:r>
      <w:r w:rsidRPr="00FE5EC6">
        <w:rPr>
          <w:rFonts w:ascii="Times" w:hAnsi="Times"/>
        </w:rPr>
        <w:t xml:space="preserve">, 148: 1906-1907. </w:t>
      </w:r>
    </w:p>
    <w:p w14:paraId="79AEFDDE"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Hebert R, Elasy T, and Canter J (2000). The Oslerian Triple-Threat: An Endangered Species? A Survey of Department of Medicine Chairs. </w:t>
      </w:r>
      <w:r w:rsidRPr="00FE5EC6">
        <w:rPr>
          <w:rFonts w:ascii="Times" w:hAnsi="Times"/>
          <w:i/>
          <w:iCs/>
        </w:rPr>
        <w:t>The American Journal of Medicine</w:t>
      </w:r>
      <w:r w:rsidRPr="00FE5EC6">
        <w:rPr>
          <w:rFonts w:ascii="Times" w:hAnsi="Times"/>
        </w:rPr>
        <w:t xml:space="preserve">, 109: 346-349. </w:t>
      </w:r>
    </w:p>
    <w:p w14:paraId="494E24C9"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Miller G, Godfrey J, Furness H et al (2017). The value of mentorship in academic medicine. </w:t>
      </w:r>
      <w:r w:rsidRPr="00FE5EC6">
        <w:rPr>
          <w:rFonts w:ascii="Times" w:hAnsi="Times"/>
          <w:i/>
          <w:iCs/>
        </w:rPr>
        <w:t>The Clinical Teacher</w:t>
      </w:r>
      <w:r w:rsidRPr="00FE5EC6">
        <w:rPr>
          <w:rFonts w:ascii="Times" w:hAnsi="Times"/>
        </w:rPr>
        <w:t xml:space="preserve">, 14: 458. </w:t>
      </w:r>
    </w:p>
    <w:p w14:paraId="55E605AA"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American Medical Association (2019). Medical Student Debt. Available from: https://www.ama-assn.org/system/files/2019-09/a19-316.pdf</w:t>
      </w:r>
    </w:p>
    <w:p w14:paraId="74743202"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Officer of the Director, National Institutes of Health. Extramural Loan Repayment Program for Health Disparities Research (LRP-HDR). 2019. Available from: https://grants.nih.gov/grants/guide/notice-files/NOT-OD-19-118.html</w:t>
      </w:r>
    </w:p>
    <w:p w14:paraId="28AF5C1B"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U.S. Department of Education. Public Service Loan Forgiveness (PSLF). Available from: </w:t>
      </w:r>
      <w:hyperlink r:id="rId5" w:history="1">
        <w:r w:rsidRPr="00FE5EC6">
          <w:rPr>
            <w:rStyle w:val="Hyperlink"/>
            <w:rFonts w:ascii="Times" w:hAnsi="Times"/>
          </w:rPr>
          <w:t>https://studentaid.gov/manage-loans/forgiveness-cancellation/public-service</w:t>
        </w:r>
      </w:hyperlink>
    </w:p>
    <w:p w14:paraId="6A6D4881"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Bureau ET (2017). Why doctors need special financial planning. Available from: https://economictimes.indiatimes.com/wealth/plan/how-should-doctors-plan-their-finances/articleshow/59502126.cms</w:t>
      </w:r>
    </w:p>
    <w:p w14:paraId="7D836EC0"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Rustgi A and Hect G (2011). Mentorship in Academic Medicine. </w:t>
      </w:r>
      <w:r w:rsidRPr="00FE5EC6">
        <w:rPr>
          <w:rFonts w:ascii="Times" w:hAnsi="Times"/>
          <w:i/>
          <w:iCs/>
        </w:rPr>
        <w:t>Gastroenterology</w:t>
      </w:r>
      <w:r w:rsidRPr="00FE5EC6">
        <w:rPr>
          <w:rFonts w:ascii="Times" w:hAnsi="Times"/>
        </w:rPr>
        <w:t xml:space="preserve">, 141: 789-792. </w:t>
      </w:r>
    </w:p>
    <w:p w14:paraId="363CBF8D"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Goudreau B, Hassinger T et al (2018). Academic or community practice? What is driving decision-making and career choices. </w:t>
      </w:r>
      <w:r w:rsidRPr="00FE5EC6">
        <w:rPr>
          <w:rFonts w:ascii="Times" w:hAnsi="Times"/>
          <w:i/>
          <w:iCs/>
        </w:rPr>
        <w:t>Surgery</w:t>
      </w:r>
      <w:r w:rsidRPr="00FE5EC6">
        <w:rPr>
          <w:rFonts w:ascii="Times" w:hAnsi="Times"/>
        </w:rPr>
        <w:t xml:space="preserve">, 164: 571-576. </w:t>
      </w:r>
    </w:p>
    <w:p w14:paraId="538D4B2E"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lastRenderedPageBreak/>
        <w:t xml:space="preserve">Kashiwagi D, Varkey P and Cook D (2013). Mentoring Programs for Physician in Academic Medicine: A Systematic Review. </w:t>
      </w:r>
      <w:r w:rsidRPr="00FE5EC6">
        <w:rPr>
          <w:rFonts w:ascii="Times" w:hAnsi="Times"/>
          <w:i/>
          <w:iCs/>
        </w:rPr>
        <w:t>Academic Medicine</w:t>
      </w:r>
      <w:r w:rsidRPr="00FE5EC6">
        <w:rPr>
          <w:rFonts w:ascii="Times" w:hAnsi="Times"/>
        </w:rPr>
        <w:t xml:space="preserve">, 88: 1029-1037. </w:t>
      </w:r>
    </w:p>
    <w:p w14:paraId="6E89FE12"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Marchalik D, Catomeris A, and Krasnow R (2019). The Impact of Burnout on Professional and Academic Goals and Career Regret in Urology Trainees. </w:t>
      </w:r>
      <w:r w:rsidRPr="00FE5EC6">
        <w:rPr>
          <w:rFonts w:ascii="Times" w:hAnsi="Times"/>
          <w:i/>
          <w:iCs/>
        </w:rPr>
        <w:t>The Journal of Urology</w:t>
      </w:r>
      <w:r w:rsidRPr="00FE5EC6">
        <w:rPr>
          <w:rFonts w:ascii="Times" w:hAnsi="Times"/>
        </w:rPr>
        <w:t xml:space="preserve">, 202: 45-46. </w:t>
      </w:r>
    </w:p>
    <w:p w14:paraId="3EE4FAFD"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Pellegrin K and Arana G (1998). Why the Triple-threat Approach Threatens the Viability of Academic Medical Centers. </w:t>
      </w:r>
      <w:r w:rsidRPr="00FE5EC6">
        <w:rPr>
          <w:rFonts w:ascii="Times" w:hAnsi="Times"/>
          <w:i/>
          <w:iCs/>
        </w:rPr>
        <w:t>Academic Medicine</w:t>
      </w:r>
      <w:r w:rsidRPr="00FE5EC6">
        <w:rPr>
          <w:rFonts w:ascii="Times" w:hAnsi="Times"/>
        </w:rPr>
        <w:t xml:space="preserve">, 73: 123-125. </w:t>
      </w:r>
    </w:p>
    <w:p w14:paraId="717D9EE3" w14:textId="77777777" w:rsidR="009A2949" w:rsidRPr="00FE5EC6" w:rsidRDefault="009A2949" w:rsidP="009A2949">
      <w:pPr>
        <w:pStyle w:val="ListParagraph"/>
        <w:numPr>
          <w:ilvl w:val="0"/>
          <w:numId w:val="1"/>
        </w:numPr>
        <w:spacing w:line="276" w:lineRule="auto"/>
        <w:rPr>
          <w:rFonts w:ascii="Times" w:hAnsi="Times"/>
        </w:rPr>
      </w:pPr>
      <w:r w:rsidRPr="00FE5EC6">
        <w:rPr>
          <w:rFonts w:ascii="Times" w:hAnsi="Times"/>
        </w:rPr>
        <w:t xml:space="preserve">USMLE (2020). USMLE Program Announces Upcoming Policy Changes. Available from: </w:t>
      </w:r>
      <w:hyperlink r:id="rId6" w:history="1">
        <w:r w:rsidRPr="00FE5EC6">
          <w:rPr>
            <w:rStyle w:val="Hyperlink"/>
            <w:rFonts w:ascii="Times" w:hAnsi="Times"/>
          </w:rPr>
          <w:t>https://www.usmle.org/usmle-program-announces-upcoming-policy-changes</w:t>
        </w:r>
      </w:hyperlink>
    </w:p>
    <w:p w14:paraId="7B4568A4" w14:textId="77777777" w:rsidR="009A2949" w:rsidRPr="00FE5EC6" w:rsidRDefault="009A2949" w:rsidP="009A2949">
      <w:pPr>
        <w:pStyle w:val="ListParagraph"/>
        <w:numPr>
          <w:ilvl w:val="0"/>
          <w:numId w:val="1"/>
        </w:numPr>
        <w:spacing w:line="276" w:lineRule="auto"/>
        <w:rPr>
          <w:rFonts w:ascii="Times" w:eastAsiaTheme="minorHAnsi" w:hAnsi="Times"/>
          <w:lang w:eastAsia="en-US"/>
        </w:rPr>
      </w:pPr>
      <w:r w:rsidRPr="00FE5EC6">
        <w:rPr>
          <w:rFonts w:ascii="Times" w:hAnsi="Times"/>
        </w:rPr>
        <w:t xml:space="preserve"> </w:t>
      </w:r>
      <w:r w:rsidRPr="00FE5EC6">
        <w:rPr>
          <w:rFonts w:ascii="Times" w:hAnsi="Times"/>
          <w:color w:val="333333"/>
          <w:shd w:val="clear" w:color="auto" w:fill="FCFCFC"/>
        </w:rPr>
        <w:t xml:space="preserve">Huang, M.M., Clifton, M.M. Evaluating Urology Residency Applications: What Matters Most and What Comes </w:t>
      </w:r>
      <w:proofErr w:type="gramStart"/>
      <w:r w:rsidRPr="00FE5EC6">
        <w:rPr>
          <w:rFonts w:ascii="Times" w:hAnsi="Times"/>
          <w:color w:val="333333"/>
          <w:shd w:val="clear" w:color="auto" w:fill="FCFCFC"/>
        </w:rPr>
        <w:t>Next?.</w:t>
      </w:r>
      <w:proofErr w:type="gramEnd"/>
      <w:r w:rsidRPr="00FE5EC6">
        <w:rPr>
          <w:rFonts w:ascii="Times" w:hAnsi="Times"/>
          <w:color w:val="333333"/>
          <w:shd w:val="clear" w:color="auto" w:fill="FCFCFC"/>
        </w:rPr>
        <w:t> </w:t>
      </w:r>
      <w:r w:rsidRPr="00FE5EC6">
        <w:rPr>
          <w:rFonts w:ascii="Times" w:hAnsi="Times"/>
          <w:i/>
          <w:iCs/>
          <w:color w:val="333333"/>
          <w:shd w:val="clear" w:color="auto" w:fill="FCFCFC"/>
        </w:rPr>
        <w:t>Curr Urol Rep</w:t>
      </w:r>
      <w:r w:rsidRPr="00FE5EC6">
        <w:rPr>
          <w:rFonts w:ascii="Times" w:hAnsi="Times"/>
          <w:color w:val="333333"/>
          <w:shd w:val="clear" w:color="auto" w:fill="FCFCFC"/>
        </w:rPr>
        <w:t> </w:t>
      </w:r>
      <w:r w:rsidRPr="00FE5EC6">
        <w:rPr>
          <w:rFonts w:ascii="Times" w:hAnsi="Times"/>
          <w:b/>
          <w:bCs/>
          <w:color w:val="333333"/>
          <w:shd w:val="clear" w:color="auto" w:fill="FCFCFC"/>
        </w:rPr>
        <w:t>21, </w:t>
      </w:r>
      <w:r w:rsidRPr="00FE5EC6">
        <w:rPr>
          <w:rFonts w:ascii="Times" w:hAnsi="Times"/>
          <w:color w:val="333333"/>
          <w:shd w:val="clear" w:color="auto" w:fill="FCFCFC"/>
        </w:rPr>
        <w:t xml:space="preserve">37 (2020). </w:t>
      </w:r>
      <w:hyperlink r:id="rId7" w:history="1">
        <w:r w:rsidRPr="00FE5EC6">
          <w:rPr>
            <w:rStyle w:val="Hyperlink"/>
            <w:rFonts w:ascii="Times" w:hAnsi="Times"/>
            <w:lang w:eastAsia="en-US"/>
          </w:rPr>
          <w:t>https://doi.org/10.1007/s11934-020-00993-0</w:t>
        </w:r>
      </w:hyperlink>
    </w:p>
    <w:p w14:paraId="30CC5749" w14:textId="77777777" w:rsidR="009A2949" w:rsidRPr="00FE5EC6" w:rsidRDefault="009A2949" w:rsidP="009A2949">
      <w:pPr>
        <w:pStyle w:val="ListParagraph"/>
        <w:numPr>
          <w:ilvl w:val="0"/>
          <w:numId w:val="1"/>
        </w:numPr>
        <w:spacing w:line="276" w:lineRule="auto"/>
        <w:rPr>
          <w:rFonts w:ascii="Times" w:eastAsiaTheme="minorHAnsi" w:hAnsi="Times"/>
          <w:lang w:eastAsia="en-US"/>
        </w:rPr>
      </w:pPr>
      <w:r w:rsidRPr="00FE5EC6">
        <w:rPr>
          <w:rFonts w:ascii="Times" w:hAnsi="Times"/>
          <w:color w:val="212121"/>
          <w:shd w:val="clear" w:color="auto" w:fill="FFFFFF"/>
        </w:rPr>
        <w:t>Pak JS, Pagano MJ, Cooper KL, McKiernan JM, Badalato GM. Prevalence of Research Publication Misrepresentation Among Urology Residency Applicants and Its Effect on Match Success. </w:t>
      </w:r>
      <w:r w:rsidRPr="00FE5EC6">
        <w:rPr>
          <w:rFonts w:ascii="Times" w:hAnsi="Times"/>
          <w:i/>
          <w:iCs/>
          <w:color w:val="212121"/>
          <w:shd w:val="clear" w:color="auto" w:fill="FFFFFF"/>
        </w:rPr>
        <w:t>Urology</w:t>
      </w:r>
      <w:r w:rsidRPr="00FE5EC6">
        <w:rPr>
          <w:rFonts w:ascii="Times" w:hAnsi="Times"/>
          <w:color w:val="212121"/>
          <w:shd w:val="clear" w:color="auto" w:fill="FFFFFF"/>
        </w:rPr>
        <w:t xml:space="preserve">. </w:t>
      </w:r>
      <w:proofErr w:type="gramStart"/>
      <w:r w:rsidRPr="00FE5EC6">
        <w:rPr>
          <w:rFonts w:ascii="Times" w:hAnsi="Times"/>
          <w:color w:val="212121"/>
          <w:shd w:val="clear" w:color="auto" w:fill="FFFFFF"/>
        </w:rPr>
        <w:t>2017;99:5</w:t>
      </w:r>
      <w:proofErr w:type="gramEnd"/>
      <w:r w:rsidRPr="00FE5EC6">
        <w:rPr>
          <w:rFonts w:ascii="Times" w:hAnsi="Times"/>
          <w:color w:val="212121"/>
          <w:shd w:val="clear" w:color="auto" w:fill="FFFFFF"/>
        </w:rPr>
        <w:t xml:space="preserve">-9. </w:t>
      </w:r>
      <w:proofErr w:type="gramStart"/>
      <w:r w:rsidRPr="00FE5EC6">
        <w:rPr>
          <w:rFonts w:ascii="Times" w:hAnsi="Times"/>
          <w:color w:val="212121"/>
          <w:shd w:val="clear" w:color="auto" w:fill="FFFFFF"/>
        </w:rPr>
        <w:t>doi:10.1016/j.urology</w:t>
      </w:r>
      <w:proofErr w:type="gramEnd"/>
      <w:r w:rsidRPr="00FE5EC6">
        <w:rPr>
          <w:rFonts w:ascii="Times" w:hAnsi="Times"/>
          <w:color w:val="212121"/>
          <w:shd w:val="clear" w:color="auto" w:fill="FFFFFF"/>
        </w:rPr>
        <w:t>.2016.08.055</w:t>
      </w:r>
    </w:p>
    <w:p w14:paraId="2A3D612A" w14:textId="77777777" w:rsidR="009A2949" w:rsidRPr="00FE5EC6" w:rsidRDefault="009A2949" w:rsidP="009A2949">
      <w:pPr>
        <w:pStyle w:val="ListParagraph"/>
        <w:numPr>
          <w:ilvl w:val="0"/>
          <w:numId w:val="1"/>
        </w:numPr>
        <w:spacing w:line="276" w:lineRule="auto"/>
        <w:rPr>
          <w:rFonts w:ascii="Times" w:hAnsi="Times"/>
          <w:lang w:eastAsia="en-US"/>
        </w:rPr>
      </w:pPr>
      <w:r w:rsidRPr="00FE5EC6">
        <w:rPr>
          <w:rFonts w:ascii="Times" w:hAnsi="Times"/>
          <w:color w:val="212121"/>
          <w:shd w:val="clear" w:color="auto" w:fill="FFFFFF"/>
        </w:rPr>
        <w:t>Thompson RH, Lohse CM, Husmann DA, Leibovich BC, Gettman MT. Predictors of Scholarly Productivity, Pursuit of Fellowship, and Academic Practice Among Urology Residents Using Medical Student Application Materials. </w:t>
      </w:r>
      <w:r w:rsidRPr="00FE5EC6">
        <w:rPr>
          <w:rFonts w:ascii="Times" w:hAnsi="Times"/>
          <w:i/>
          <w:iCs/>
          <w:color w:val="212121"/>
          <w:shd w:val="clear" w:color="auto" w:fill="FFFFFF"/>
        </w:rPr>
        <w:t>Urology</w:t>
      </w:r>
      <w:r w:rsidRPr="00FE5EC6">
        <w:rPr>
          <w:rFonts w:ascii="Times" w:hAnsi="Times"/>
          <w:color w:val="212121"/>
          <w:shd w:val="clear" w:color="auto" w:fill="FFFFFF"/>
        </w:rPr>
        <w:t xml:space="preserve">. </w:t>
      </w:r>
      <w:proofErr w:type="gramStart"/>
      <w:r w:rsidRPr="00FE5EC6">
        <w:rPr>
          <w:rFonts w:ascii="Times" w:hAnsi="Times"/>
          <w:color w:val="212121"/>
          <w:shd w:val="clear" w:color="auto" w:fill="FFFFFF"/>
        </w:rPr>
        <w:t>2018;120:49</w:t>
      </w:r>
      <w:proofErr w:type="gramEnd"/>
      <w:r w:rsidRPr="00FE5EC6">
        <w:rPr>
          <w:rFonts w:ascii="Times" w:hAnsi="Times"/>
          <w:color w:val="212121"/>
          <w:shd w:val="clear" w:color="auto" w:fill="FFFFFF"/>
        </w:rPr>
        <w:t xml:space="preserve">-55. </w:t>
      </w:r>
      <w:proofErr w:type="gramStart"/>
      <w:r w:rsidRPr="00FE5EC6">
        <w:rPr>
          <w:rFonts w:ascii="Times" w:hAnsi="Times"/>
          <w:color w:val="212121"/>
          <w:shd w:val="clear" w:color="auto" w:fill="FFFFFF"/>
        </w:rPr>
        <w:t>doi:10.1016/j.urology</w:t>
      </w:r>
      <w:proofErr w:type="gramEnd"/>
      <w:r w:rsidRPr="00FE5EC6">
        <w:rPr>
          <w:rFonts w:ascii="Times" w:hAnsi="Times"/>
          <w:color w:val="212121"/>
          <w:shd w:val="clear" w:color="auto" w:fill="FFFFFF"/>
        </w:rPr>
        <w:t>.2018.07.016</w:t>
      </w:r>
    </w:p>
    <w:p w14:paraId="0FC55357" w14:textId="77777777" w:rsidR="009A2949" w:rsidRPr="00FE5EC6" w:rsidRDefault="009A2949" w:rsidP="009A2949">
      <w:pPr>
        <w:pStyle w:val="ListParagraph"/>
        <w:numPr>
          <w:ilvl w:val="0"/>
          <w:numId w:val="1"/>
        </w:numPr>
        <w:spacing w:line="276" w:lineRule="auto"/>
        <w:rPr>
          <w:rFonts w:ascii="Times" w:hAnsi="Times"/>
          <w:lang w:eastAsia="en-US"/>
        </w:rPr>
      </w:pPr>
      <w:r w:rsidRPr="00FE5EC6">
        <w:rPr>
          <w:rFonts w:ascii="Times" w:hAnsi="Times"/>
        </w:rPr>
        <w:t>AUA (2022). Urology Residency Match Statistics. Available from: https://www.auanet.org/education/auauniversity/for-residents/urology-and-specialty-matches/urology-match-results</w:t>
      </w:r>
    </w:p>
    <w:p w14:paraId="0E1E0B45" w14:textId="77777777" w:rsidR="00D57482" w:rsidRDefault="00D57482" w:rsidP="000D2FC5"/>
    <w:sectPr w:rsidR="00D57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29EA"/>
    <w:multiLevelType w:val="hybridMultilevel"/>
    <w:tmpl w:val="0E70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59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C5"/>
    <w:rsid w:val="00022470"/>
    <w:rsid w:val="00082C5C"/>
    <w:rsid w:val="000A7DDF"/>
    <w:rsid w:val="000B21E5"/>
    <w:rsid w:val="000B53A2"/>
    <w:rsid w:val="000D2FC5"/>
    <w:rsid w:val="000F54EF"/>
    <w:rsid w:val="000F6C89"/>
    <w:rsid w:val="001637E1"/>
    <w:rsid w:val="001A0315"/>
    <w:rsid w:val="001C08BD"/>
    <w:rsid w:val="001E7548"/>
    <w:rsid w:val="001F2214"/>
    <w:rsid w:val="00220A08"/>
    <w:rsid w:val="00224ECE"/>
    <w:rsid w:val="00225D35"/>
    <w:rsid w:val="00312C5F"/>
    <w:rsid w:val="003237AF"/>
    <w:rsid w:val="00360747"/>
    <w:rsid w:val="00367813"/>
    <w:rsid w:val="00392128"/>
    <w:rsid w:val="003B0DD0"/>
    <w:rsid w:val="003C44C5"/>
    <w:rsid w:val="003C4B40"/>
    <w:rsid w:val="003F1AEF"/>
    <w:rsid w:val="0044591F"/>
    <w:rsid w:val="004605E7"/>
    <w:rsid w:val="00471662"/>
    <w:rsid w:val="004C6828"/>
    <w:rsid w:val="004E52B4"/>
    <w:rsid w:val="004F2975"/>
    <w:rsid w:val="005058FE"/>
    <w:rsid w:val="00510408"/>
    <w:rsid w:val="00546A8C"/>
    <w:rsid w:val="00584710"/>
    <w:rsid w:val="006762E3"/>
    <w:rsid w:val="00713805"/>
    <w:rsid w:val="007356BD"/>
    <w:rsid w:val="007F3557"/>
    <w:rsid w:val="00807723"/>
    <w:rsid w:val="00833149"/>
    <w:rsid w:val="00997CFD"/>
    <w:rsid w:val="009A2949"/>
    <w:rsid w:val="00A44F35"/>
    <w:rsid w:val="00A60A3E"/>
    <w:rsid w:val="00A828E6"/>
    <w:rsid w:val="00AC1999"/>
    <w:rsid w:val="00AC27B5"/>
    <w:rsid w:val="00B2067D"/>
    <w:rsid w:val="00B435C7"/>
    <w:rsid w:val="00B6269C"/>
    <w:rsid w:val="00B70632"/>
    <w:rsid w:val="00B71631"/>
    <w:rsid w:val="00B8221C"/>
    <w:rsid w:val="00B835C4"/>
    <w:rsid w:val="00B92523"/>
    <w:rsid w:val="00BA5FBA"/>
    <w:rsid w:val="00C25D52"/>
    <w:rsid w:val="00C434EF"/>
    <w:rsid w:val="00C45734"/>
    <w:rsid w:val="00CF4C38"/>
    <w:rsid w:val="00D40074"/>
    <w:rsid w:val="00D435F9"/>
    <w:rsid w:val="00D57482"/>
    <w:rsid w:val="00D7239F"/>
    <w:rsid w:val="00D76E53"/>
    <w:rsid w:val="00DF72D8"/>
    <w:rsid w:val="00E325BF"/>
    <w:rsid w:val="00E32E5B"/>
    <w:rsid w:val="00E9248E"/>
    <w:rsid w:val="00F020DE"/>
    <w:rsid w:val="00F118A4"/>
    <w:rsid w:val="00F14B91"/>
    <w:rsid w:val="00FC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B054DB"/>
  <w15:chartTrackingRefBased/>
  <w15:docId w15:val="{A20788CF-2DD5-9B42-9B17-D9C51F39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F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2FC5"/>
    <w:pPr>
      <w:spacing w:before="100" w:beforeAutospacing="1" w:after="100" w:afterAutospacing="1"/>
    </w:pPr>
  </w:style>
  <w:style w:type="paragraph" w:styleId="ListParagraph">
    <w:name w:val="List Paragraph"/>
    <w:basedOn w:val="Normal"/>
    <w:uiPriority w:val="34"/>
    <w:qFormat/>
    <w:rsid w:val="009A2949"/>
    <w:pPr>
      <w:ind w:left="720"/>
      <w:contextualSpacing/>
    </w:pPr>
  </w:style>
  <w:style w:type="character" w:customStyle="1" w:styleId="apple-converted-space">
    <w:name w:val="apple-converted-space"/>
    <w:basedOn w:val="DefaultParagraphFont"/>
    <w:rsid w:val="009A2949"/>
  </w:style>
  <w:style w:type="character" w:customStyle="1" w:styleId="ref-journal">
    <w:name w:val="ref-journal"/>
    <w:basedOn w:val="DefaultParagraphFont"/>
    <w:rsid w:val="009A2949"/>
  </w:style>
  <w:style w:type="character" w:customStyle="1" w:styleId="ref-vol">
    <w:name w:val="ref-vol"/>
    <w:basedOn w:val="DefaultParagraphFont"/>
    <w:rsid w:val="009A2949"/>
  </w:style>
  <w:style w:type="character" w:styleId="Hyperlink">
    <w:name w:val="Hyperlink"/>
    <w:basedOn w:val="DefaultParagraphFont"/>
    <w:uiPriority w:val="99"/>
    <w:unhideWhenUsed/>
    <w:rsid w:val="009A2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s11934-020-009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mle.org/usmle-program-announces-upcoming-policy-changes" TargetMode="External"/><Relationship Id="rId5" Type="http://schemas.openxmlformats.org/officeDocument/2006/relationships/hyperlink" Target="https://studentaid.gov/manage-loans/forgiveness-cancellation/public-serv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4780</Words>
  <Characters>27250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Nakamura,Fumihiko</dc:creator>
  <cp:keywords/>
  <dc:description/>
  <cp:lastModifiedBy>Nakamura, Fumihiko</cp:lastModifiedBy>
  <cp:revision>4</cp:revision>
  <dcterms:created xsi:type="dcterms:W3CDTF">2022-07-14T22:05:00Z</dcterms:created>
  <dcterms:modified xsi:type="dcterms:W3CDTF">2022-09-12T01:08:00Z</dcterms:modified>
</cp:coreProperties>
</file>