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b/>
          <w:bCs/>
          <w:spacing w:val="1"/>
          <w:sz w:val="24"/>
          <w:szCs w:val="24"/>
          <w:lang w:val="es-AR"/>
        </w:rPr>
      </w:pPr>
      <w:bookmarkStart w:id="0" w:name="_GoBack"/>
      <w:bookmarkEnd w:id="0"/>
      <w:r w:rsidRPr="00C25775">
        <w:rPr>
          <w:rFonts w:ascii="Arial" w:hAnsi="Arial" w:cs="Arial"/>
          <w:b/>
          <w:bCs/>
          <w:spacing w:val="1"/>
          <w:sz w:val="24"/>
          <w:szCs w:val="24"/>
          <w:lang w:val="es-AR"/>
        </w:rPr>
        <w:t>Urotheliectom</w:t>
      </w:r>
      <w:r w:rsidR="00C25775">
        <w:rPr>
          <w:rFonts w:ascii="Arial" w:hAnsi="Arial" w:cs="Arial"/>
          <w:b/>
          <w:bCs/>
          <w:spacing w:val="1"/>
          <w:sz w:val="24"/>
          <w:szCs w:val="24"/>
          <w:lang w:val="es-AR"/>
        </w:rPr>
        <w:t>y</w:t>
      </w:r>
    </w:p>
    <w:p w:rsidR="00000D4B" w:rsidRPr="00A43A4D" w:rsidRDefault="00000D4B" w:rsidP="00721F0E">
      <w:pPr>
        <w:spacing w:after="0" w:line="240" w:lineRule="auto"/>
        <w:ind w:right="1669"/>
        <w:jc w:val="both"/>
        <w:rPr>
          <w:rFonts w:ascii="Arial" w:hAnsi="Arial" w:cs="Arial"/>
          <w:b/>
          <w:bCs/>
          <w:sz w:val="24"/>
          <w:szCs w:val="24"/>
        </w:rPr>
      </w:pPr>
      <w:r w:rsidRPr="00A43A4D">
        <w:rPr>
          <w:rFonts w:ascii="Arial" w:hAnsi="Arial" w:cs="Arial"/>
          <w:b/>
          <w:bCs/>
          <w:sz w:val="24"/>
          <w:szCs w:val="24"/>
        </w:rPr>
        <w:t xml:space="preserve">Autores: </w:t>
      </w:r>
      <w:r w:rsidRPr="00A43A4D">
        <w:rPr>
          <w:rFonts w:ascii="Arial" w:hAnsi="Arial" w:cs="Arial"/>
          <w:bCs/>
          <w:sz w:val="24"/>
          <w:szCs w:val="24"/>
          <w:lang w:val="es-AR"/>
        </w:rPr>
        <w:t>Diego Barreiro</w:t>
      </w:r>
      <w:r w:rsidR="00C25775">
        <w:rPr>
          <w:rStyle w:val="FootnoteReference"/>
          <w:rFonts w:ascii="Arial" w:hAnsi="Arial" w:cs="Arial"/>
          <w:bCs/>
          <w:sz w:val="24"/>
          <w:szCs w:val="24"/>
          <w:lang w:val="es-AR"/>
        </w:rPr>
        <w:footnoteReference w:id="2"/>
      </w:r>
      <w:r w:rsidRPr="00A43A4D">
        <w:rPr>
          <w:rFonts w:ascii="Arial" w:hAnsi="Arial" w:cs="Arial"/>
          <w:bCs/>
          <w:sz w:val="24"/>
          <w:szCs w:val="24"/>
          <w:lang w:val="es-AR"/>
        </w:rPr>
        <w:t xml:space="preserve">, </w:t>
      </w:r>
      <w:r w:rsidRPr="00A43A4D">
        <w:rPr>
          <w:rFonts w:ascii="Arial" w:hAnsi="Arial" w:cs="Arial"/>
          <w:bCs/>
          <w:sz w:val="24"/>
          <w:szCs w:val="24"/>
        </w:rPr>
        <w:t>Lázaro Deinys Rodríguez Borrego</w:t>
      </w:r>
      <w:r w:rsidR="00C25775">
        <w:rPr>
          <w:rStyle w:val="FootnoteReference"/>
          <w:rFonts w:ascii="Arial" w:hAnsi="Arial" w:cs="Arial"/>
          <w:bCs/>
          <w:sz w:val="24"/>
          <w:szCs w:val="24"/>
        </w:rPr>
        <w:footnoteReference w:id="3"/>
      </w:r>
      <w:r w:rsidRPr="00A43A4D">
        <w:rPr>
          <w:rFonts w:ascii="Arial" w:hAnsi="Arial" w:cs="Arial"/>
          <w:bCs/>
          <w:sz w:val="24"/>
          <w:szCs w:val="24"/>
        </w:rPr>
        <w:t xml:space="preserve">, </w:t>
      </w:r>
      <w:r w:rsidRPr="00A43A4D">
        <w:rPr>
          <w:rFonts w:ascii="Arial" w:hAnsi="Arial" w:cs="Arial"/>
          <w:sz w:val="24"/>
          <w:szCs w:val="24"/>
        </w:rPr>
        <w:t>Castro Montiel Francisco</w:t>
      </w:r>
      <w:r w:rsidR="00C25775">
        <w:rPr>
          <w:rFonts w:ascii="Arial" w:hAnsi="Arial" w:cs="Arial"/>
          <w:sz w:val="28"/>
          <w:szCs w:val="24"/>
          <w:vertAlign w:val="superscript"/>
        </w:rPr>
        <w:t>1</w:t>
      </w:r>
      <w:r w:rsidRPr="00A43A4D">
        <w:rPr>
          <w:rFonts w:ascii="Arial" w:hAnsi="Arial" w:cs="Arial"/>
          <w:bCs/>
          <w:sz w:val="24"/>
          <w:szCs w:val="24"/>
        </w:rPr>
        <w:t xml:space="preserve">, </w:t>
      </w:r>
      <w:r w:rsidRPr="00A43A4D">
        <w:rPr>
          <w:rFonts w:ascii="Arial" w:hAnsi="Arial" w:cs="Arial"/>
          <w:sz w:val="24"/>
          <w:szCs w:val="24"/>
        </w:rPr>
        <w:t>Colicigno Mauricio</w:t>
      </w:r>
      <w:r w:rsidR="00C25775">
        <w:rPr>
          <w:rFonts w:ascii="Arial" w:hAnsi="Arial" w:cs="Arial"/>
          <w:sz w:val="24"/>
          <w:szCs w:val="24"/>
          <w:vertAlign w:val="superscript"/>
        </w:rPr>
        <w:t>1</w:t>
      </w:r>
      <w:r w:rsidRPr="00A43A4D">
        <w:rPr>
          <w:rFonts w:ascii="Arial" w:hAnsi="Arial" w:cs="Arial"/>
          <w:bCs/>
          <w:sz w:val="24"/>
          <w:szCs w:val="24"/>
        </w:rPr>
        <w:t xml:space="preserve">, </w:t>
      </w:r>
      <w:r w:rsidRPr="00A43A4D">
        <w:rPr>
          <w:rFonts w:ascii="Arial" w:hAnsi="Arial" w:cs="Arial"/>
          <w:sz w:val="24"/>
          <w:szCs w:val="24"/>
        </w:rPr>
        <w:t>Lafos Norberto</w:t>
      </w:r>
      <w:r w:rsidR="00C25775">
        <w:rPr>
          <w:rFonts w:ascii="Arial" w:hAnsi="Arial" w:cs="Arial"/>
          <w:sz w:val="24"/>
          <w:szCs w:val="24"/>
          <w:vertAlign w:val="superscript"/>
        </w:rPr>
        <w:t>1</w:t>
      </w:r>
      <w:r w:rsidRPr="00A43A4D">
        <w:rPr>
          <w:rFonts w:ascii="Arial" w:hAnsi="Arial" w:cs="Arial"/>
          <w:sz w:val="24"/>
          <w:szCs w:val="24"/>
        </w:rPr>
        <w:t>.</w:t>
      </w:r>
    </w:p>
    <w:p w:rsidR="00000D4B" w:rsidRDefault="00000D4B" w:rsidP="00721F0E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25775">
        <w:rPr>
          <w:rFonts w:ascii="Arial" w:hAnsi="Arial" w:cs="Arial"/>
          <w:b/>
          <w:sz w:val="24"/>
          <w:szCs w:val="24"/>
          <w:lang w:val="en-US"/>
        </w:rPr>
        <w:t>Introduction</w:t>
      </w: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sz w:val="24"/>
          <w:szCs w:val="24"/>
          <w:vertAlign w:val="superscript"/>
          <w:lang w:val="en-US"/>
        </w:rPr>
      </w:pPr>
      <w:r w:rsidRPr="00C25775">
        <w:rPr>
          <w:rFonts w:ascii="Arial" w:hAnsi="Arial" w:cs="Arial"/>
          <w:sz w:val="24"/>
          <w:szCs w:val="24"/>
          <w:lang w:val="en-US"/>
        </w:rPr>
        <w:t xml:space="preserve">Renal carcinoma ofthe Bellini 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 xml:space="preserve"> (CRDC) is a very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rare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 xml:space="preserve">histologicalvariantof renal tumor, </w:t>
      </w:r>
      <w:r w:rsidR="00C25775">
        <w:rPr>
          <w:rFonts w:ascii="Arial" w:hAnsi="Arial" w:cs="Arial"/>
          <w:sz w:val="24"/>
          <w:szCs w:val="24"/>
          <w:lang w:val="en-US"/>
        </w:rPr>
        <w:t xml:space="preserve">it was </w:t>
      </w:r>
      <w:r w:rsidRPr="00C25775">
        <w:rPr>
          <w:rFonts w:ascii="Arial" w:hAnsi="Arial" w:cs="Arial"/>
          <w:sz w:val="24"/>
          <w:szCs w:val="24"/>
          <w:lang w:val="en-US"/>
        </w:rPr>
        <w:t>first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described in 1949 and recognized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withits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own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identity in 1986. It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is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an</w:t>
      </w:r>
      <w:r w:rsidR="00C27AC6">
        <w:rPr>
          <w:rFonts w:ascii="Arial" w:hAnsi="Arial" w:cs="Arial"/>
          <w:sz w:val="24"/>
          <w:szCs w:val="24"/>
          <w:lang w:val="en-US"/>
        </w:rPr>
        <w:t xml:space="preserve">d </w:t>
      </w:r>
      <w:r w:rsidRPr="00C25775">
        <w:rPr>
          <w:rFonts w:ascii="Arial" w:hAnsi="Arial" w:cs="Arial"/>
          <w:sz w:val="24"/>
          <w:szCs w:val="24"/>
          <w:lang w:val="en-US"/>
        </w:rPr>
        <w:t>aggressive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form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of renal neoplasia that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accounts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for 1% of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malignant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epithelial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lesions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of</w:t>
      </w:r>
      <w:r w:rsidR="00E4666F">
        <w:rPr>
          <w:rFonts w:ascii="Arial" w:hAnsi="Arial" w:cs="Arial"/>
          <w:sz w:val="24"/>
          <w:szCs w:val="24"/>
          <w:lang w:val="en-US"/>
        </w:rPr>
        <w:t xml:space="preserve"> </w:t>
      </w:r>
      <w:r w:rsidRPr="00C25775">
        <w:rPr>
          <w:rFonts w:ascii="Arial" w:hAnsi="Arial" w:cs="Arial"/>
          <w:sz w:val="24"/>
          <w:szCs w:val="24"/>
          <w:lang w:val="en-US"/>
        </w:rPr>
        <w:t>the kidney.</w:t>
      </w:r>
      <w:r w:rsidR="00E4666F">
        <w:rPr>
          <w:rFonts w:ascii="Arial" w:hAnsi="Arial" w:cs="Arial"/>
          <w:sz w:val="24"/>
          <w:szCs w:val="24"/>
          <w:vertAlign w:val="superscript"/>
          <w:lang w:val="en-US"/>
        </w:rPr>
        <w:t>1</w:t>
      </w: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000D4B" w:rsidRPr="00C25775" w:rsidRDefault="00EC322F" w:rsidP="00721F0E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25775">
        <w:rPr>
          <w:rFonts w:ascii="Arial" w:hAnsi="Arial" w:cs="Arial"/>
          <w:b/>
          <w:sz w:val="24"/>
          <w:szCs w:val="24"/>
          <w:lang w:val="en-US"/>
        </w:rPr>
        <w:t>C</w:t>
      </w:r>
      <w:r w:rsidR="00000D4B" w:rsidRPr="00C25775">
        <w:rPr>
          <w:rFonts w:ascii="Arial" w:hAnsi="Arial" w:cs="Arial"/>
          <w:b/>
          <w:sz w:val="24"/>
          <w:szCs w:val="24"/>
          <w:lang w:val="en-US"/>
        </w:rPr>
        <w:t>ase</w:t>
      </w:r>
      <w:r w:rsidRPr="00C25775">
        <w:rPr>
          <w:rFonts w:ascii="Arial" w:hAnsi="Arial" w:cs="Arial"/>
          <w:b/>
          <w:sz w:val="24"/>
          <w:szCs w:val="24"/>
          <w:lang w:val="en-US"/>
        </w:rPr>
        <w:t>presentation</w:t>
      </w: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25775">
        <w:rPr>
          <w:rFonts w:ascii="Arial" w:hAnsi="Arial" w:cs="Arial"/>
          <w:sz w:val="24"/>
          <w:szCs w:val="24"/>
          <w:lang w:val="en-US"/>
        </w:rPr>
        <w:t xml:space="preserve">76-year-old malepatient, with a historyofbeingfunctionalmonorenalduetohydronephrosisofunclear cause, withchronic </w:t>
      </w:r>
      <w:r w:rsidR="000B717A">
        <w:rPr>
          <w:rFonts w:ascii="Arial" w:hAnsi="Arial" w:cs="Arial"/>
          <w:sz w:val="24"/>
          <w:szCs w:val="24"/>
          <w:lang w:val="en-US"/>
        </w:rPr>
        <w:t>renal failure (usual creatinine</w:t>
      </w:r>
      <w:r w:rsidRPr="00C25775">
        <w:rPr>
          <w:rFonts w:ascii="Arial" w:hAnsi="Arial" w:cs="Arial"/>
          <w:sz w:val="24"/>
          <w:szCs w:val="24"/>
          <w:lang w:val="en-US"/>
        </w:rPr>
        <w:t>between 1.5 - 1.7 mg/dl), with a clinical diagnosis ofUpperurinarytract carcinoma in October 2020 performedbyureterorenoscopy, butwithoutbiopsy in another center, and a historyofurinarytractinfectionsduetomultiresistantgerms.</w:t>
      </w: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25775">
        <w:rPr>
          <w:rFonts w:ascii="Arial" w:hAnsi="Arial" w:cs="Arial"/>
          <w:sz w:val="24"/>
          <w:szCs w:val="24"/>
          <w:lang w:val="en-US"/>
        </w:rPr>
        <w:t>He entersonguard (in themiddleoftherequestof covid19) presenting hematuria withthepresenceofclotsassociatedwithintermittentdysuria and leftlow back pain, subsequentlyevolvingwithasthenia, hyporexia and decreaseddiureticrhythm. Presentingdeteriorationof renal function (Urea 192 mg/dI, creatinine 6.98 mg/dl) withhyponatremia (120 mEq/I) and elevated LDH and CPK (235 and 224 U/l respectively). Inflammatoryurinarysediment. Swabfor SARS-CoV2 negative. Computed axial tomography (CT) wasperformed. (Figure 1-2)</w:t>
      </w: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25775">
        <w:rPr>
          <w:rFonts w:ascii="Arial" w:hAnsi="Arial" w:cs="Arial"/>
          <w:sz w:val="24"/>
          <w:szCs w:val="24"/>
          <w:lang w:val="en-US"/>
        </w:rPr>
        <w:t>Emergency</w:t>
      </w:r>
      <w:r w:rsidR="000B717A">
        <w:rPr>
          <w:rFonts w:ascii="Arial" w:hAnsi="Arial" w:cs="Arial"/>
          <w:sz w:val="24"/>
          <w:szCs w:val="24"/>
          <w:lang w:val="en-US"/>
        </w:rPr>
        <w:t xml:space="preserve"> hemodialysis </w:t>
      </w:r>
      <w:r w:rsidRPr="00C25775">
        <w:rPr>
          <w:rFonts w:ascii="Arial" w:hAnsi="Arial" w:cs="Arial"/>
          <w:sz w:val="24"/>
          <w:szCs w:val="24"/>
          <w:lang w:val="en-US"/>
        </w:rPr>
        <w:t>performed after correctionofhyponatremia.</w:t>
      </w: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25775">
        <w:rPr>
          <w:rFonts w:ascii="Arial" w:hAnsi="Arial" w:cs="Arial"/>
          <w:sz w:val="24"/>
          <w:szCs w:val="24"/>
          <w:lang w:val="en-US"/>
        </w:rPr>
        <w:t>Giventhepossibility</w:t>
      </w:r>
      <w:r w:rsidR="0017372F">
        <w:rPr>
          <w:rFonts w:ascii="Arial" w:hAnsi="Arial" w:cs="Arial"/>
          <w:sz w:val="24"/>
          <w:szCs w:val="24"/>
          <w:lang w:val="en-US"/>
        </w:rPr>
        <w:t xml:space="preserve"> of a urothelium tumor in </w:t>
      </w:r>
      <w:r w:rsidRPr="00C25775">
        <w:rPr>
          <w:rFonts w:ascii="Arial" w:hAnsi="Arial" w:cs="Arial"/>
          <w:sz w:val="24"/>
          <w:szCs w:val="24"/>
          <w:lang w:val="en-US"/>
        </w:rPr>
        <w:t>left renal pelvis, withgross hematuria, with a non-functioning contralateral kidney (patientondialysis) and multipleurinary</w:t>
      </w:r>
      <w:r w:rsidR="0017372F">
        <w:rPr>
          <w:rFonts w:ascii="Arial" w:hAnsi="Arial" w:cs="Arial"/>
          <w:sz w:val="24"/>
          <w:szCs w:val="24"/>
          <w:lang w:val="en-US"/>
        </w:rPr>
        <w:t xml:space="preserve"> tract </w:t>
      </w:r>
      <w:r w:rsidRPr="00C25775">
        <w:rPr>
          <w:rFonts w:ascii="Arial" w:hAnsi="Arial" w:cs="Arial"/>
          <w:sz w:val="24"/>
          <w:szCs w:val="24"/>
          <w:lang w:val="en-US"/>
        </w:rPr>
        <w:t>infectionsbymultidrug-resistantgerms, itwasdecided in a hospital athenaeumtoperformurotelie</w:t>
      </w:r>
      <w:r w:rsidR="00057EA9">
        <w:rPr>
          <w:rFonts w:ascii="Arial" w:hAnsi="Arial" w:cs="Arial"/>
          <w:sz w:val="24"/>
          <w:szCs w:val="24"/>
          <w:lang w:val="en-US"/>
        </w:rPr>
        <w:t>c</w:t>
      </w:r>
      <w:r w:rsidRPr="00C25775">
        <w:rPr>
          <w:rFonts w:ascii="Arial" w:hAnsi="Arial" w:cs="Arial"/>
          <w:sz w:val="24"/>
          <w:szCs w:val="24"/>
          <w:lang w:val="en-US"/>
        </w:rPr>
        <w:t>tomy.</w:t>
      </w: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25775">
        <w:rPr>
          <w:rFonts w:ascii="Arial" w:hAnsi="Arial" w:cs="Arial"/>
          <w:sz w:val="24"/>
          <w:szCs w:val="24"/>
          <w:lang w:val="en-US"/>
        </w:rPr>
        <w:t>Thesurgicalpiece shows theatrophic and uronephroticrightkidney, thebladderwithchronicinflammation and theleftkidneywith a large Bellini tumor. (Figures 3-4-5-6</w:t>
      </w:r>
      <w:r w:rsidR="000B039D">
        <w:rPr>
          <w:rFonts w:ascii="Arial" w:hAnsi="Arial" w:cs="Arial"/>
          <w:sz w:val="24"/>
          <w:szCs w:val="24"/>
          <w:lang w:val="en-US"/>
        </w:rPr>
        <w:t>-7</w:t>
      </w:r>
      <w:r w:rsidRPr="00C25775">
        <w:rPr>
          <w:rFonts w:ascii="Arial" w:hAnsi="Arial" w:cs="Arial"/>
          <w:sz w:val="24"/>
          <w:szCs w:val="24"/>
          <w:lang w:val="en-US"/>
        </w:rPr>
        <w:t>)</w:t>
      </w: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25775">
        <w:rPr>
          <w:rFonts w:ascii="Arial" w:hAnsi="Arial" w:cs="Arial"/>
          <w:sz w:val="24"/>
          <w:szCs w:val="24"/>
          <w:lang w:val="en-US"/>
        </w:rPr>
        <w:t>Thepatientevolved</w:t>
      </w:r>
      <w:r w:rsidR="0017372F" w:rsidRPr="0017372F">
        <w:rPr>
          <w:rFonts w:ascii="Arial" w:hAnsi="Arial" w:cs="Arial"/>
          <w:i/>
          <w:sz w:val="24"/>
          <w:szCs w:val="24"/>
          <w:lang w:val="en-US"/>
        </w:rPr>
        <w:t>anephros</w:t>
      </w:r>
      <w:r w:rsidRPr="00C25775">
        <w:rPr>
          <w:rFonts w:ascii="Arial" w:hAnsi="Arial" w:cs="Arial"/>
          <w:sz w:val="24"/>
          <w:szCs w:val="24"/>
          <w:lang w:val="en-US"/>
        </w:rPr>
        <w:t>, performingtriweeklydialysis, had a post-surgical control tomography at 3 monthswithoutevidenceof local ordistant</w:t>
      </w:r>
      <w:r w:rsidR="000B039D">
        <w:rPr>
          <w:rFonts w:ascii="Arial" w:hAnsi="Arial" w:cs="Arial"/>
          <w:sz w:val="24"/>
          <w:szCs w:val="24"/>
          <w:lang w:val="en-US"/>
        </w:rPr>
        <w:t>relapses (Figure 8-9</w:t>
      </w:r>
      <w:r w:rsidRPr="00C25775">
        <w:rPr>
          <w:rFonts w:ascii="Arial" w:hAnsi="Arial" w:cs="Arial"/>
          <w:sz w:val="24"/>
          <w:szCs w:val="24"/>
          <w:lang w:val="en-US"/>
        </w:rPr>
        <w:t>).</w:t>
      </w: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25775">
        <w:rPr>
          <w:rFonts w:ascii="Arial" w:hAnsi="Arial" w:cs="Arial"/>
          <w:sz w:val="24"/>
          <w:szCs w:val="24"/>
          <w:lang w:val="en-US"/>
        </w:rPr>
        <w:t>Thepatient</w:t>
      </w:r>
      <w:r w:rsidR="0017372F">
        <w:rPr>
          <w:rFonts w:ascii="Arial" w:hAnsi="Arial" w:cs="Arial"/>
          <w:sz w:val="24"/>
          <w:szCs w:val="24"/>
          <w:lang w:val="en-US"/>
        </w:rPr>
        <w:t xml:space="preserve"> died 7 months after surgery </w:t>
      </w:r>
      <w:r w:rsidRPr="00C25775">
        <w:rPr>
          <w:rFonts w:ascii="Arial" w:hAnsi="Arial" w:cs="Arial"/>
          <w:sz w:val="24"/>
          <w:szCs w:val="24"/>
          <w:lang w:val="en-US"/>
        </w:rPr>
        <w:t>withoutevidenceof</w:t>
      </w:r>
      <w:r w:rsidR="0017372F">
        <w:rPr>
          <w:rFonts w:ascii="Arial" w:hAnsi="Arial" w:cs="Arial"/>
          <w:sz w:val="24"/>
          <w:szCs w:val="24"/>
          <w:lang w:val="en-US"/>
        </w:rPr>
        <w:t xml:space="preserve"> recurrence, and without systemic treatment,</w:t>
      </w:r>
      <w:r w:rsidRPr="00C25775">
        <w:rPr>
          <w:rFonts w:ascii="Arial" w:hAnsi="Arial" w:cs="Arial"/>
          <w:sz w:val="24"/>
          <w:szCs w:val="24"/>
          <w:lang w:val="en-US"/>
        </w:rPr>
        <w:t xml:space="preserve"> after suffering a </w:t>
      </w:r>
      <w:r w:rsidR="00EC322F" w:rsidRPr="00C25775">
        <w:rPr>
          <w:rFonts w:ascii="Arial" w:hAnsi="Arial" w:cs="Arial"/>
          <w:sz w:val="24"/>
          <w:szCs w:val="24"/>
          <w:lang w:val="en-US"/>
        </w:rPr>
        <w:t>Bleeding vascular brainaccident</w:t>
      </w:r>
      <w:r w:rsidRPr="00C25775">
        <w:rPr>
          <w:rFonts w:ascii="Arial" w:hAnsi="Arial" w:cs="Arial"/>
          <w:sz w:val="24"/>
          <w:szCs w:val="24"/>
          <w:lang w:val="en-US"/>
        </w:rPr>
        <w:t>.</w:t>
      </w:r>
    </w:p>
    <w:p w:rsidR="00C25775" w:rsidRDefault="00C25775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C25775" w:rsidRDefault="00C25775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C25775" w:rsidRDefault="00C25775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C25775" w:rsidRDefault="00C25775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C25775" w:rsidRDefault="00C25775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C25775" w:rsidRDefault="00C25775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17372F" w:rsidRDefault="0017372F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17372F" w:rsidRDefault="0017372F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000D4B" w:rsidRPr="00C25775" w:rsidRDefault="00000D4B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  <w:r w:rsidRPr="00A43A4D">
        <w:rPr>
          <w:rFonts w:ascii="Arial" w:eastAsiaTheme="minorHAnsi" w:hAnsi="Arial" w:cs="Arial"/>
          <w:b/>
          <w:bCs/>
          <w:noProof/>
          <w:sz w:val="24"/>
          <w:szCs w:val="24"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3239770</wp:posOffset>
            </wp:positionH>
            <wp:positionV relativeFrom="paragraph">
              <wp:posOffset>119380</wp:posOffset>
            </wp:positionV>
            <wp:extent cx="2292985" cy="1706245"/>
            <wp:effectExtent l="19050" t="0" r="0" b="0"/>
            <wp:wrapSquare wrapText="bothSides"/>
            <wp:docPr id="6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227D6D5C-1D11-2F48-8CF4-EA29E41DDE9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227D6D5C-1D11-2F48-8CF4-EA29E41DDE9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298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D4B" w:rsidRPr="00A43A4D" w:rsidRDefault="00000D4B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 w:rsidRPr="00A43A4D">
        <w:rPr>
          <w:rFonts w:ascii="Arial" w:eastAsiaTheme="minorHAnsi" w:hAnsi="Arial" w:cs="Arial"/>
          <w:b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2414427" cy="1700373"/>
            <wp:effectExtent l="0" t="0" r="5080" b="0"/>
            <wp:docPr id="14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5E1E721B-A293-3F42-B771-FCE58E5D1C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5E1E721B-A293-3F42-B771-FCE58E5D1C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8860" cy="1752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4B" w:rsidRPr="00A43A4D" w:rsidRDefault="00000D4B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  <w:r w:rsidRPr="00A43A4D"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  <w:t xml:space="preserve">        Figure: 1                     </w:t>
      </w:r>
      <w:r w:rsidR="0017372F"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  <w:t xml:space="preserve">                          Figure</w:t>
      </w:r>
      <w:r w:rsidRPr="00A43A4D"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  <w:t>: 2</w:t>
      </w:r>
    </w:p>
    <w:p w:rsidR="00000D4B" w:rsidRPr="00A43A4D" w:rsidRDefault="00057EA9" w:rsidP="00721F0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Theme="minorHAnsi" w:hAnsi="Arial" w:cs="Arial"/>
          <w:bCs/>
          <w:sz w:val="24"/>
          <w:szCs w:val="24"/>
          <w:lang w:val="en-US" w:eastAsia="en-US"/>
        </w:rPr>
      </w:pPr>
      <w:r w:rsidRPr="00A43A4D">
        <w:rPr>
          <w:rFonts w:ascii="Arial" w:eastAsiaTheme="minorHAnsi" w:hAnsi="Arial" w:cs="Arial"/>
          <w:bCs/>
          <w:sz w:val="24"/>
          <w:szCs w:val="24"/>
          <w:lang w:val="en-US" w:eastAsia="en-US"/>
        </w:rPr>
        <w:t>Atrophic</w:t>
      </w:r>
      <w:r w:rsidR="00000D4B" w:rsidRPr="00A43A4D">
        <w:rPr>
          <w:rFonts w:ascii="Arial" w:eastAsiaTheme="minorHAnsi" w:hAnsi="Arial" w:cs="Arial"/>
          <w:bCs/>
          <w:sz w:val="24"/>
          <w:szCs w:val="24"/>
          <w:lang w:val="en-US" w:eastAsia="en-US"/>
        </w:rPr>
        <w:t xml:space="preserve"> right kidney, Dilated left Kidney with heterogeneous pelvic content (Without contrast).</w:t>
      </w:r>
    </w:p>
    <w:p w:rsidR="00000D4B" w:rsidRPr="00A43A4D" w:rsidRDefault="00000D4B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000D4B" w:rsidRPr="00A43A4D" w:rsidRDefault="00000D4B" w:rsidP="00721F0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  <w:r w:rsidRPr="00A43A4D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>
            <wp:extent cx="1528979" cy="2337899"/>
            <wp:effectExtent l="0" t="0" r="0" b="5715"/>
            <wp:docPr id="8" name="Imagen 2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EC0EFF60-E470-674C-B385-C8EC9495BC8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EC0EFF60-E470-674C-B385-C8EC9495BC8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317" cy="2552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4B" w:rsidRDefault="00000D4B" w:rsidP="00721F0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  <w:r w:rsidRPr="00A43A4D">
        <w:rPr>
          <w:rFonts w:ascii="Arial" w:eastAsiaTheme="minorHAnsi" w:hAnsi="Arial" w:cs="Arial"/>
          <w:b/>
          <w:bCs/>
          <w:sz w:val="24"/>
          <w:szCs w:val="24"/>
          <w:lang w:eastAsia="en-US"/>
        </w:rPr>
        <w:t xml:space="preserve">Figura 3: </w:t>
      </w:r>
      <w:r w:rsidRPr="00A43A4D">
        <w:rPr>
          <w:rFonts w:ascii="Arial" w:eastAsiaTheme="minorHAnsi" w:hAnsi="Arial" w:cs="Arial"/>
          <w:bCs/>
          <w:sz w:val="24"/>
          <w:szCs w:val="24"/>
          <w:lang w:eastAsia="en-US"/>
        </w:rPr>
        <w:t>Urotheliectomy</w:t>
      </w:r>
    </w:p>
    <w:p w:rsidR="00000D4B" w:rsidRPr="00A43A4D" w:rsidRDefault="00000D4B" w:rsidP="00721F0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:rsidR="00000D4B" w:rsidRPr="00A43A4D" w:rsidRDefault="00000D4B" w:rsidP="00721F0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 w:rsidRPr="00A43A4D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>
            <wp:extent cx="1500026" cy="2035941"/>
            <wp:effectExtent l="0" t="0" r="5080" b="2540"/>
            <wp:docPr id="18" name="Imagen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511DCD33-D789-0D47-8AD1-48193B7E3DA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511DCD33-D789-0D47-8AD1-48193B7E3DA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626" cy="209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4B" w:rsidRPr="00A43A4D" w:rsidRDefault="00000D4B" w:rsidP="00721F0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  <w:r w:rsidRPr="00A43A4D"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  <w:t xml:space="preserve">Figure 4: </w:t>
      </w:r>
      <w:r w:rsidRPr="00A43A4D">
        <w:rPr>
          <w:rFonts w:ascii="Arial" w:eastAsiaTheme="minorHAnsi" w:hAnsi="Arial" w:cs="Arial"/>
          <w:bCs/>
          <w:sz w:val="24"/>
          <w:szCs w:val="24"/>
          <w:lang w:val="en-US" w:eastAsia="en-US"/>
        </w:rPr>
        <w:t>Bladder and prostate with conic infection.</w:t>
      </w:r>
    </w:p>
    <w:p w:rsidR="00000D4B" w:rsidRPr="00A43A4D" w:rsidRDefault="00000D4B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000D4B" w:rsidRPr="00A43A4D" w:rsidRDefault="00000D4B" w:rsidP="00721F0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  <w:r w:rsidRPr="00A43A4D">
        <w:rPr>
          <w:rFonts w:ascii="Arial" w:hAnsi="Arial" w:cs="Arial"/>
          <w:noProof/>
          <w:sz w:val="24"/>
          <w:szCs w:val="24"/>
          <w:lang w:val="en-US" w:eastAsia="en-US"/>
        </w:rPr>
        <w:lastRenderedPageBreak/>
        <w:drawing>
          <wp:inline distT="0" distB="0" distL="0" distR="0">
            <wp:extent cx="1546261" cy="2281314"/>
            <wp:effectExtent l="0" t="0" r="0" b="5080"/>
            <wp:docPr id="17" name="Imagen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15DDB9F8-73DA-0046-A691-3EB45C5D211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15DDB9F8-73DA-0046-A691-3EB45C5D211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6187" cy="236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4B" w:rsidRPr="00A43A4D" w:rsidRDefault="00000D4B" w:rsidP="00721F0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  <w:r w:rsidRPr="00A43A4D"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  <w:t xml:space="preserve">Figure 5: </w:t>
      </w:r>
      <w:r w:rsidRPr="00A43A4D">
        <w:rPr>
          <w:rFonts w:ascii="Arial" w:eastAsiaTheme="minorHAnsi" w:hAnsi="Arial" w:cs="Arial"/>
          <w:bCs/>
          <w:sz w:val="24"/>
          <w:szCs w:val="24"/>
          <w:lang w:val="en-US" w:eastAsia="en-US"/>
        </w:rPr>
        <w:t xml:space="preserve">Right </w:t>
      </w:r>
      <w:r w:rsidR="00057EA9" w:rsidRPr="00A43A4D">
        <w:rPr>
          <w:rFonts w:ascii="Arial" w:eastAsiaTheme="minorHAnsi" w:hAnsi="Arial" w:cs="Arial"/>
          <w:bCs/>
          <w:sz w:val="24"/>
          <w:szCs w:val="24"/>
          <w:lang w:val="en-US" w:eastAsia="en-US"/>
        </w:rPr>
        <w:t>anthropic</w:t>
      </w:r>
      <w:r w:rsidRPr="00A43A4D">
        <w:rPr>
          <w:rFonts w:ascii="Arial" w:eastAsiaTheme="minorHAnsi" w:hAnsi="Arial" w:cs="Arial"/>
          <w:bCs/>
          <w:sz w:val="24"/>
          <w:szCs w:val="24"/>
          <w:lang w:val="en-US" w:eastAsia="en-US"/>
        </w:rPr>
        <w:t>uronephrotic kidney</w:t>
      </w:r>
    </w:p>
    <w:p w:rsidR="00000D4B" w:rsidRPr="00A43A4D" w:rsidRDefault="00000D4B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000D4B" w:rsidRPr="00A43A4D" w:rsidRDefault="00000D4B" w:rsidP="00721F0E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 w:rsidRPr="00A43A4D">
        <w:rPr>
          <w:rFonts w:ascii="Arial" w:hAnsi="Arial" w:cs="Arial"/>
          <w:noProof/>
          <w:sz w:val="24"/>
          <w:szCs w:val="24"/>
          <w:lang w:val="en-US" w:eastAsia="en-US"/>
        </w:rPr>
        <w:drawing>
          <wp:inline distT="0" distB="0" distL="0" distR="0">
            <wp:extent cx="1628453" cy="2210153"/>
            <wp:effectExtent l="0" t="0" r="0" b="0"/>
            <wp:docPr id="15" name="Imagen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83167208-1537-B84A-8031-C06DCB5AFF4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83167208-1537-B84A-8031-C06DCB5AFF4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270" cy="2329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039D" w:rsidRDefault="00000D4B" w:rsidP="00721F0E">
      <w:pPr>
        <w:autoSpaceDE w:val="0"/>
        <w:autoSpaceDN w:val="0"/>
        <w:adjustRightInd w:val="0"/>
        <w:spacing w:after="0" w:line="240" w:lineRule="auto"/>
        <w:ind w:left="567" w:right="180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  <w:r w:rsidRPr="00A43A4D"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  <w:t xml:space="preserve">Figure 6: </w:t>
      </w:r>
      <w:r w:rsidRPr="00A43A4D">
        <w:rPr>
          <w:rFonts w:ascii="Arial" w:eastAsiaTheme="minorHAnsi" w:hAnsi="Arial" w:cs="Arial"/>
          <w:bCs/>
          <w:sz w:val="24"/>
          <w:szCs w:val="24"/>
          <w:lang w:val="en-US" w:eastAsia="en-US"/>
        </w:rPr>
        <w:t>Left Kidney Bellinitumor</w:t>
      </w:r>
    </w:p>
    <w:p w:rsidR="000B039D" w:rsidRDefault="000B039D" w:rsidP="00721F0E">
      <w:pPr>
        <w:autoSpaceDE w:val="0"/>
        <w:autoSpaceDN w:val="0"/>
        <w:adjustRightInd w:val="0"/>
        <w:spacing w:after="0" w:line="240" w:lineRule="auto"/>
        <w:ind w:left="567" w:right="180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0B039D" w:rsidRDefault="000B039D" w:rsidP="00721F0E">
      <w:pPr>
        <w:autoSpaceDE w:val="0"/>
        <w:autoSpaceDN w:val="0"/>
        <w:adjustRightInd w:val="0"/>
        <w:spacing w:after="0" w:line="240" w:lineRule="auto"/>
        <w:ind w:left="567" w:right="180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0B039D" w:rsidRDefault="000B039D" w:rsidP="00721F0E">
      <w:pPr>
        <w:autoSpaceDE w:val="0"/>
        <w:autoSpaceDN w:val="0"/>
        <w:adjustRightInd w:val="0"/>
        <w:spacing w:after="0" w:line="240" w:lineRule="auto"/>
        <w:ind w:left="567" w:right="180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  <w:r w:rsidRPr="000B039D">
        <w:rPr>
          <w:rFonts w:ascii="Arial" w:eastAsiaTheme="minorHAnsi" w:hAnsi="Arial" w:cs="Arial"/>
          <w:b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2590698" cy="2446638"/>
            <wp:effectExtent l="19050" t="0" r="102" b="0"/>
            <wp:docPr id="7" name="Picture 7" descr="PHOTO-2022-06-23-10-46-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1F17687-6FC9-4D94-9609-3A8C7957C80F" descr="PHOTO-2022-06-23-10-46-47.jpg"/>
                    <pic:cNvPicPr/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604" cy="2447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39D" w:rsidRDefault="000B039D" w:rsidP="000B039D">
      <w:pPr>
        <w:autoSpaceDE w:val="0"/>
        <w:autoSpaceDN w:val="0"/>
        <w:adjustRightInd w:val="0"/>
        <w:spacing w:after="0" w:line="240" w:lineRule="auto"/>
        <w:ind w:left="567" w:right="180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  <w:r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  <w:t>Figure 7</w:t>
      </w:r>
      <w:r w:rsidRPr="00A43A4D"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  <w:t xml:space="preserve">: </w:t>
      </w:r>
      <w:r>
        <w:rPr>
          <w:rFonts w:ascii="Arial" w:eastAsiaTheme="minorHAnsi" w:hAnsi="Arial" w:cs="Arial"/>
          <w:bCs/>
          <w:sz w:val="24"/>
          <w:szCs w:val="24"/>
          <w:lang w:val="en-US" w:eastAsia="en-US"/>
        </w:rPr>
        <w:t>Microscopic aspect of</w:t>
      </w:r>
      <w:r w:rsidRPr="00A43A4D">
        <w:rPr>
          <w:rFonts w:ascii="Arial" w:eastAsiaTheme="minorHAnsi" w:hAnsi="Arial" w:cs="Arial"/>
          <w:bCs/>
          <w:sz w:val="24"/>
          <w:szCs w:val="24"/>
          <w:lang w:val="en-US" w:eastAsia="en-US"/>
        </w:rPr>
        <w:t xml:space="preserve"> Bellini</w:t>
      </w:r>
      <w:r w:rsidR="00E4666F">
        <w:rPr>
          <w:rFonts w:ascii="Arial" w:eastAsiaTheme="minorHAnsi" w:hAnsi="Arial" w:cs="Arial"/>
          <w:bCs/>
          <w:sz w:val="24"/>
          <w:szCs w:val="24"/>
          <w:lang w:val="en-US" w:eastAsia="en-US"/>
        </w:rPr>
        <w:t xml:space="preserve"> </w:t>
      </w:r>
      <w:r w:rsidRPr="00A43A4D">
        <w:rPr>
          <w:rFonts w:ascii="Arial" w:eastAsiaTheme="minorHAnsi" w:hAnsi="Arial" w:cs="Arial"/>
          <w:bCs/>
          <w:sz w:val="24"/>
          <w:szCs w:val="24"/>
          <w:lang w:val="en-US" w:eastAsia="en-US"/>
        </w:rPr>
        <w:t>tumor</w:t>
      </w:r>
    </w:p>
    <w:p w:rsidR="000B039D" w:rsidRDefault="000B039D" w:rsidP="00721F0E">
      <w:pPr>
        <w:autoSpaceDE w:val="0"/>
        <w:autoSpaceDN w:val="0"/>
        <w:adjustRightInd w:val="0"/>
        <w:spacing w:after="0" w:line="240" w:lineRule="auto"/>
        <w:ind w:left="567" w:right="180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0B039D" w:rsidRDefault="000B039D" w:rsidP="00721F0E">
      <w:pPr>
        <w:autoSpaceDE w:val="0"/>
        <w:autoSpaceDN w:val="0"/>
        <w:adjustRightInd w:val="0"/>
        <w:spacing w:after="0" w:line="240" w:lineRule="auto"/>
        <w:ind w:left="567" w:right="180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0B039D" w:rsidRDefault="000B039D" w:rsidP="00721F0E">
      <w:pPr>
        <w:autoSpaceDE w:val="0"/>
        <w:autoSpaceDN w:val="0"/>
        <w:adjustRightInd w:val="0"/>
        <w:spacing w:after="0" w:line="240" w:lineRule="auto"/>
        <w:ind w:left="567" w:right="180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0B039D" w:rsidRDefault="000B039D" w:rsidP="00721F0E">
      <w:pPr>
        <w:autoSpaceDE w:val="0"/>
        <w:autoSpaceDN w:val="0"/>
        <w:adjustRightInd w:val="0"/>
        <w:spacing w:after="0" w:line="240" w:lineRule="auto"/>
        <w:ind w:left="567" w:right="180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0B039D" w:rsidRDefault="000B039D" w:rsidP="00721F0E">
      <w:pPr>
        <w:autoSpaceDE w:val="0"/>
        <w:autoSpaceDN w:val="0"/>
        <w:adjustRightInd w:val="0"/>
        <w:spacing w:after="0" w:line="240" w:lineRule="auto"/>
        <w:ind w:left="567" w:right="180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000D4B" w:rsidRPr="00A43A4D" w:rsidRDefault="00000D4B" w:rsidP="00721F0E">
      <w:pPr>
        <w:autoSpaceDE w:val="0"/>
        <w:autoSpaceDN w:val="0"/>
        <w:adjustRightInd w:val="0"/>
        <w:spacing w:after="0" w:line="240" w:lineRule="auto"/>
        <w:ind w:left="567" w:right="180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  <w:r w:rsidRPr="00A43A4D"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  <w:lastRenderedPageBreak/>
        <w:br w:type="textWrapping" w:clear="all"/>
      </w:r>
    </w:p>
    <w:p w:rsidR="00000D4B" w:rsidRPr="00A43A4D" w:rsidRDefault="00000D4B" w:rsidP="00721F0E">
      <w:p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  <w:r w:rsidRPr="00A43A4D">
        <w:rPr>
          <w:rFonts w:ascii="Arial" w:eastAsiaTheme="minorHAnsi" w:hAnsi="Arial" w:cs="Arial"/>
          <w:b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2157573" cy="1597631"/>
            <wp:effectExtent l="0" t="0" r="0" b="3175"/>
            <wp:docPr id="19" name="Picture 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166F7C5B-B520-E648-BB3D-8FAC3800776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166F7C5B-B520-E648-BB3D-8FAC380077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4694" cy="161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A4D">
        <w:rPr>
          <w:rFonts w:ascii="Arial" w:eastAsiaTheme="minorHAnsi" w:hAnsi="Arial" w:cs="Arial"/>
          <w:b/>
          <w:bCs/>
          <w:noProof/>
          <w:sz w:val="24"/>
          <w:szCs w:val="24"/>
          <w:lang w:val="en-US" w:eastAsia="en-US"/>
        </w:rPr>
        <w:drawing>
          <wp:inline distT="0" distB="0" distL="0" distR="0">
            <wp:extent cx="2476072" cy="1591909"/>
            <wp:effectExtent l="0" t="0" r="635" b="8890"/>
            <wp:docPr id="20" name="Picture 4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B17940C9-2728-2A48-9C55-EF397EFCA82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B17940C9-2728-2A48-9C55-EF397EFCA8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8593" cy="1619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D4B" w:rsidRPr="00A43A4D" w:rsidRDefault="000B039D" w:rsidP="00721F0E">
      <w:p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  <w:r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  <w:t>Figure: 8                       Figure: 9</w:t>
      </w:r>
    </w:p>
    <w:p w:rsidR="00000D4B" w:rsidRPr="00A43A4D" w:rsidRDefault="00000D4B" w:rsidP="00721F0E">
      <w:pPr>
        <w:autoSpaceDE w:val="0"/>
        <w:autoSpaceDN w:val="0"/>
        <w:adjustRightInd w:val="0"/>
        <w:spacing w:after="0" w:line="240" w:lineRule="auto"/>
        <w:ind w:right="180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  <w:r w:rsidRPr="00A43A4D">
        <w:rPr>
          <w:rFonts w:ascii="Arial" w:eastAsiaTheme="minorHAnsi" w:hAnsi="Arial" w:cs="Arial"/>
          <w:bCs/>
          <w:sz w:val="24"/>
          <w:szCs w:val="24"/>
          <w:lang w:val="en-US" w:eastAsia="en-US"/>
        </w:rPr>
        <w:t>After 3 months of urotheliectomy no evidence of disease.</w:t>
      </w: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C25775">
        <w:rPr>
          <w:rFonts w:ascii="Arial" w:hAnsi="Arial" w:cs="Arial"/>
          <w:b/>
          <w:sz w:val="24"/>
          <w:szCs w:val="24"/>
          <w:lang w:val="en-US"/>
        </w:rPr>
        <w:t>Discussion</w:t>
      </w: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25775">
        <w:rPr>
          <w:rFonts w:ascii="Arial" w:hAnsi="Arial" w:cs="Arial"/>
          <w:sz w:val="24"/>
          <w:szCs w:val="24"/>
          <w:lang w:val="en-US"/>
        </w:rPr>
        <w:t>Bellini tumorsusuallymimicupperurotheliumtumors</w:t>
      </w:r>
      <w:r w:rsidR="00721F0E" w:rsidRPr="00C25775">
        <w:rPr>
          <w:rFonts w:ascii="Arial" w:hAnsi="Arial" w:cs="Arial"/>
          <w:sz w:val="24"/>
          <w:szCs w:val="24"/>
          <w:vertAlign w:val="superscript"/>
          <w:lang w:val="en-US"/>
        </w:rPr>
        <w:t>4</w:t>
      </w:r>
      <w:r w:rsidRPr="00C25775">
        <w:rPr>
          <w:rFonts w:ascii="Arial" w:hAnsi="Arial" w:cs="Arial"/>
          <w:sz w:val="24"/>
          <w:szCs w:val="24"/>
          <w:lang w:val="en-US"/>
        </w:rPr>
        <w:t>see Figure</w:t>
      </w:r>
      <w:r w:rsidR="00721F0E" w:rsidRPr="00C25775">
        <w:rPr>
          <w:rFonts w:ascii="Arial" w:hAnsi="Arial" w:cs="Arial"/>
          <w:sz w:val="24"/>
          <w:szCs w:val="24"/>
          <w:lang w:val="en-US"/>
        </w:rPr>
        <w:t>s</w:t>
      </w:r>
      <w:r w:rsidRPr="00C25775">
        <w:rPr>
          <w:rFonts w:ascii="Arial" w:hAnsi="Arial" w:cs="Arial"/>
          <w:sz w:val="24"/>
          <w:szCs w:val="24"/>
          <w:lang w:val="en-US"/>
        </w:rPr>
        <w:t xml:space="preserve"> 3 and 6, so they are usually a diagnosticchallenge.</w:t>
      </w: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sz w:val="24"/>
          <w:szCs w:val="24"/>
          <w:lang w:val="en-US"/>
        </w:rPr>
      </w:pPr>
      <w:r w:rsidRPr="00C25775">
        <w:rPr>
          <w:rFonts w:ascii="Arial" w:hAnsi="Arial" w:cs="Arial"/>
          <w:sz w:val="24"/>
          <w:szCs w:val="24"/>
          <w:lang w:val="en-US"/>
        </w:rPr>
        <w:t>Renal carcinoma of Bellini collectingductstreatedby</w:t>
      </w:r>
      <w:r w:rsidR="0017372F">
        <w:rPr>
          <w:rFonts w:ascii="Arial" w:hAnsi="Arial" w:cs="Arial"/>
          <w:sz w:val="24"/>
          <w:szCs w:val="24"/>
          <w:lang w:val="en-US"/>
        </w:rPr>
        <w:t xml:space="preserve"> surgery </w:t>
      </w:r>
      <w:r w:rsidRPr="00C25775">
        <w:rPr>
          <w:rFonts w:ascii="Arial" w:hAnsi="Arial" w:cs="Arial"/>
          <w:sz w:val="24"/>
          <w:szCs w:val="24"/>
          <w:lang w:val="en-US"/>
        </w:rPr>
        <w:t>systemictherapy</w:t>
      </w:r>
      <w:r w:rsidR="0017372F">
        <w:rPr>
          <w:rFonts w:ascii="Arial" w:hAnsi="Arial" w:cs="Arial"/>
          <w:sz w:val="24"/>
          <w:szCs w:val="24"/>
          <w:lang w:val="en-US"/>
        </w:rPr>
        <w:t xml:space="preserve"> or both</w:t>
      </w:r>
      <w:r w:rsidRPr="00C25775">
        <w:rPr>
          <w:rFonts w:ascii="Arial" w:hAnsi="Arial" w:cs="Arial"/>
          <w:sz w:val="24"/>
          <w:szCs w:val="24"/>
          <w:lang w:val="en-US"/>
        </w:rPr>
        <w:t xml:space="preserve">; theyhadanaveragesurvival time of 11 months and only 1 patientsurvived more than 5 years after diagnosis; </w:t>
      </w:r>
      <w:r w:rsidR="00721F0E" w:rsidRPr="00C25775">
        <w:rPr>
          <w:rFonts w:ascii="Arial" w:hAnsi="Arial" w:cs="Arial"/>
          <w:sz w:val="24"/>
          <w:szCs w:val="24"/>
          <w:vertAlign w:val="superscript"/>
          <w:lang w:val="en-US"/>
        </w:rPr>
        <w:t>5</w:t>
      </w:r>
      <w:r w:rsidRPr="00C25775">
        <w:rPr>
          <w:rFonts w:ascii="Arial" w:hAnsi="Arial" w:cs="Arial"/>
          <w:sz w:val="24"/>
          <w:szCs w:val="24"/>
          <w:lang w:val="en-US"/>
        </w:rPr>
        <w:t>something similar toourpatientwhomanagedtoachieve a shortersurvival</w:t>
      </w:r>
      <w:r w:rsidR="000B039D">
        <w:rPr>
          <w:rFonts w:ascii="Arial" w:hAnsi="Arial" w:cs="Arial"/>
          <w:sz w:val="24"/>
          <w:szCs w:val="24"/>
          <w:lang w:val="en-US"/>
        </w:rPr>
        <w:t>of 7 months after urote</w:t>
      </w:r>
      <w:r w:rsidRPr="00C25775">
        <w:rPr>
          <w:rFonts w:ascii="Arial" w:hAnsi="Arial" w:cs="Arial"/>
          <w:sz w:val="24"/>
          <w:szCs w:val="24"/>
          <w:lang w:val="en-US"/>
        </w:rPr>
        <w:t>liectomy, whichdiesfrom</w:t>
      </w:r>
      <w:r w:rsidR="0017372F">
        <w:rPr>
          <w:rFonts w:ascii="Arial" w:hAnsi="Arial" w:cs="Arial"/>
          <w:sz w:val="24"/>
          <w:szCs w:val="24"/>
          <w:lang w:val="en-US"/>
        </w:rPr>
        <w:t xml:space="preserve"> other cause without recurrence</w:t>
      </w:r>
      <w:r w:rsidRPr="00C25775">
        <w:rPr>
          <w:rFonts w:ascii="Arial" w:hAnsi="Arial" w:cs="Arial"/>
          <w:sz w:val="24"/>
          <w:szCs w:val="24"/>
          <w:lang w:val="en-US"/>
        </w:rPr>
        <w:t>.</w:t>
      </w:r>
    </w:p>
    <w:p w:rsidR="00EC322F" w:rsidRPr="00C25775" w:rsidRDefault="00EC322F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n-US" w:eastAsia="en-US"/>
        </w:rPr>
      </w:pPr>
      <w:r w:rsidRPr="00C25775">
        <w:rPr>
          <w:rFonts w:ascii="Arial" w:eastAsiaTheme="minorHAnsi" w:hAnsi="Arial" w:cs="Arial"/>
          <w:sz w:val="24"/>
          <w:szCs w:val="24"/>
          <w:lang w:val="en-US" w:eastAsia="en-US"/>
        </w:rPr>
        <w:t>Thebesttreatmentavailabletodayisbasedonsurgicalresectionwheneverpossible, usuallyaccompaniedbysystemicchemotherapywiththesameregimen as urotheliumtumors in cases ofdistantdisease. However, in most cases, the prognosis isusuallyinfamousdespitethetreatment instituted,</w:t>
      </w:r>
      <w:r w:rsidR="00721F0E" w:rsidRPr="00C25775">
        <w:rPr>
          <w:rFonts w:ascii="Arial" w:eastAsiaTheme="minorHAnsi" w:hAnsi="Arial" w:cs="Arial"/>
          <w:sz w:val="24"/>
          <w:szCs w:val="24"/>
          <w:vertAlign w:val="superscript"/>
          <w:lang w:val="en-US" w:eastAsia="en-US"/>
        </w:rPr>
        <w:t>6</w:t>
      </w:r>
      <w:r w:rsidRPr="00C25775">
        <w:rPr>
          <w:rFonts w:ascii="Arial" w:eastAsiaTheme="minorHAnsi" w:hAnsi="Arial" w:cs="Arial"/>
          <w:sz w:val="24"/>
          <w:szCs w:val="24"/>
          <w:lang w:val="en-US" w:eastAsia="en-US"/>
        </w:rPr>
        <w:t xml:space="preserve"> so weagreeonthesurgical performance and subsequentfollow-up ofthe case presented in ourstudy, performinguroteliectomy.</w:t>
      </w:r>
    </w:p>
    <w:p w:rsidR="00EC322F" w:rsidRPr="00C25775" w:rsidRDefault="00EC322F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lang w:val="en-US" w:eastAsia="en-US"/>
        </w:rPr>
      </w:pPr>
    </w:p>
    <w:p w:rsidR="00000D4B" w:rsidRPr="00C25775" w:rsidRDefault="00EC322F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sz w:val="24"/>
          <w:szCs w:val="24"/>
          <w:vertAlign w:val="superscript"/>
          <w:lang w:val="en-US" w:eastAsia="en-US"/>
        </w:rPr>
      </w:pPr>
      <w:r w:rsidRPr="00C25775">
        <w:rPr>
          <w:rFonts w:ascii="Arial" w:eastAsiaTheme="minorHAnsi" w:hAnsi="Arial" w:cs="Arial"/>
          <w:sz w:val="24"/>
          <w:szCs w:val="24"/>
          <w:lang w:val="en-US" w:eastAsia="en-US"/>
        </w:rPr>
        <w:t>Authorsofthisstudyreportanother case o</w:t>
      </w:r>
      <w:r w:rsidR="0017372F">
        <w:rPr>
          <w:rFonts w:ascii="Arial" w:eastAsiaTheme="minorHAnsi" w:hAnsi="Arial" w:cs="Arial"/>
          <w:sz w:val="24"/>
          <w:szCs w:val="24"/>
          <w:lang w:val="en-US" w:eastAsia="en-US"/>
        </w:rPr>
        <w:t>f urote</w:t>
      </w:r>
      <w:r w:rsidRPr="00C25775">
        <w:rPr>
          <w:rFonts w:ascii="Arial" w:eastAsiaTheme="minorHAnsi" w:hAnsi="Arial" w:cs="Arial"/>
          <w:sz w:val="24"/>
          <w:szCs w:val="24"/>
          <w:lang w:val="en-US" w:eastAsia="en-US"/>
        </w:rPr>
        <w:t>li</w:t>
      </w:r>
      <w:r w:rsidR="0017372F">
        <w:rPr>
          <w:rFonts w:ascii="Arial" w:eastAsiaTheme="minorHAnsi" w:hAnsi="Arial" w:cs="Arial"/>
          <w:sz w:val="24"/>
          <w:szCs w:val="24"/>
          <w:lang w:val="en-US" w:eastAsia="en-US"/>
        </w:rPr>
        <w:t>ec</w:t>
      </w:r>
      <w:r w:rsidRPr="00C25775">
        <w:rPr>
          <w:rFonts w:ascii="Arial" w:eastAsiaTheme="minorHAnsi" w:hAnsi="Arial" w:cs="Arial"/>
          <w:sz w:val="24"/>
          <w:szCs w:val="24"/>
          <w:lang w:val="en-US" w:eastAsia="en-US"/>
        </w:rPr>
        <w:t>tomy in 2014, whereitisdemonstrated once againthaturotelietomy</w:t>
      </w:r>
      <w:r w:rsidR="00721F0E" w:rsidRPr="00C25775">
        <w:rPr>
          <w:rFonts w:ascii="Arial" w:eastAsiaTheme="minorHAnsi" w:hAnsi="Arial" w:cs="Arial"/>
          <w:sz w:val="24"/>
          <w:szCs w:val="24"/>
          <w:vertAlign w:val="superscript"/>
          <w:lang w:val="en-US" w:eastAsia="en-US"/>
        </w:rPr>
        <w:t>7</w:t>
      </w:r>
      <w:r w:rsidRPr="00C25775">
        <w:rPr>
          <w:rFonts w:ascii="Arial" w:eastAsiaTheme="minorHAnsi" w:hAnsi="Arial" w:cs="Arial"/>
          <w:sz w:val="24"/>
          <w:szCs w:val="24"/>
          <w:lang w:val="en-US" w:eastAsia="en-US"/>
        </w:rPr>
        <w:t xml:space="preserve">is a usefulresource in thistypeofpatientor in multicenterurotheliumtumors. </w:t>
      </w:r>
      <w:r w:rsidR="00721F0E" w:rsidRPr="00C25775">
        <w:rPr>
          <w:rFonts w:ascii="Arial" w:eastAsiaTheme="minorHAnsi" w:hAnsi="Arial" w:cs="Arial"/>
          <w:sz w:val="24"/>
          <w:szCs w:val="24"/>
          <w:vertAlign w:val="superscript"/>
          <w:lang w:val="en-US" w:eastAsia="en-US"/>
        </w:rPr>
        <w:t>8</w:t>
      </w: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b/>
          <w:bCs/>
          <w:color w:val="000000"/>
          <w:spacing w:val="4"/>
          <w:sz w:val="24"/>
          <w:szCs w:val="24"/>
          <w:lang w:val="en-US"/>
        </w:rPr>
      </w:pPr>
    </w:p>
    <w:p w:rsidR="00EC322F" w:rsidRPr="00C25775" w:rsidRDefault="00EC322F" w:rsidP="00721F0E">
      <w:pPr>
        <w:spacing w:line="240" w:lineRule="auto"/>
        <w:jc w:val="both"/>
        <w:rPr>
          <w:rFonts w:ascii="Arial" w:hAnsi="Arial" w:cs="Arial"/>
          <w:b/>
          <w:bCs/>
          <w:color w:val="000000"/>
          <w:spacing w:val="4"/>
          <w:sz w:val="24"/>
          <w:szCs w:val="24"/>
          <w:lang w:val="en-US"/>
        </w:rPr>
      </w:pPr>
      <w:r w:rsidRPr="00C25775">
        <w:rPr>
          <w:rFonts w:ascii="Arial" w:hAnsi="Arial" w:cs="Arial"/>
          <w:b/>
          <w:bCs/>
          <w:color w:val="000000"/>
          <w:spacing w:val="4"/>
          <w:sz w:val="24"/>
          <w:szCs w:val="24"/>
          <w:lang w:val="en-US"/>
        </w:rPr>
        <w:t>Conclusions</w:t>
      </w:r>
    </w:p>
    <w:p w:rsidR="00EC322F" w:rsidRPr="00C25775" w:rsidRDefault="00EC322F" w:rsidP="00721F0E">
      <w:pPr>
        <w:spacing w:line="240" w:lineRule="auto"/>
        <w:jc w:val="both"/>
        <w:rPr>
          <w:rFonts w:ascii="Arial" w:hAnsi="Arial" w:cs="Arial"/>
          <w:bCs/>
          <w:color w:val="000000"/>
          <w:spacing w:val="4"/>
          <w:sz w:val="24"/>
          <w:szCs w:val="24"/>
          <w:lang w:val="en-US"/>
        </w:rPr>
      </w:pPr>
      <w:r w:rsidRPr="00C25775">
        <w:rPr>
          <w:rFonts w:ascii="Arial" w:hAnsi="Arial" w:cs="Arial"/>
          <w:bCs/>
          <w:color w:val="000000"/>
          <w:spacing w:val="4"/>
          <w:sz w:val="24"/>
          <w:szCs w:val="24"/>
          <w:lang w:val="en-US"/>
        </w:rPr>
        <w:t>Urot</w:t>
      </w:r>
      <w:r w:rsidR="00057EA9">
        <w:rPr>
          <w:rFonts w:ascii="Arial" w:hAnsi="Arial" w:cs="Arial"/>
          <w:bCs/>
          <w:color w:val="000000"/>
          <w:spacing w:val="4"/>
          <w:sz w:val="24"/>
          <w:szCs w:val="24"/>
          <w:lang w:val="en-US"/>
        </w:rPr>
        <w:t>h</w:t>
      </w:r>
      <w:r w:rsidRPr="00C25775">
        <w:rPr>
          <w:rFonts w:ascii="Arial" w:hAnsi="Arial" w:cs="Arial"/>
          <w:bCs/>
          <w:color w:val="000000"/>
          <w:spacing w:val="4"/>
          <w:sz w:val="24"/>
          <w:szCs w:val="24"/>
          <w:lang w:val="en-US"/>
        </w:rPr>
        <w:t>elietomyis a recentlydescribedtherapeuticresource, rarelyused and withfewpublications.</w:t>
      </w:r>
    </w:p>
    <w:p w:rsidR="00EC322F" w:rsidRPr="00C25775" w:rsidRDefault="00EC322F" w:rsidP="00721F0E">
      <w:pPr>
        <w:spacing w:line="240" w:lineRule="auto"/>
        <w:jc w:val="both"/>
        <w:rPr>
          <w:rFonts w:ascii="Arial" w:hAnsi="Arial" w:cs="Arial"/>
          <w:bCs/>
          <w:color w:val="000000"/>
          <w:spacing w:val="4"/>
          <w:sz w:val="24"/>
          <w:szCs w:val="24"/>
          <w:lang w:val="en-US"/>
        </w:rPr>
      </w:pPr>
      <w:r w:rsidRPr="00C25775">
        <w:rPr>
          <w:rFonts w:ascii="Arial" w:hAnsi="Arial" w:cs="Arial"/>
          <w:bCs/>
          <w:color w:val="000000"/>
          <w:spacing w:val="4"/>
          <w:sz w:val="24"/>
          <w:szCs w:val="24"/>
          <w:lang w:val="en-US"/>
        </w:rPr>
        <w:t>Ifweassumed</w:t>
      </w:r>
      <w:r w:rsidR="0017372F">
        <w:rPr>
          <w:rFonts w:ascii="Arial" w:hAnsi="Arial" w:cs="Arial"/>
          <w:bCs/>
          <w:color w:val="000000"/>
          <w:spacing w:val="4"/>
          <w:sz w:val="24"/>
          <w:szCs w:val="24"/>
          <w:lang w:val="en-US"/>
        </w:rPr>
        <w:t xml:space="preserve"> tha</w:t>
      </w:r>
      <w:r w:rsidR="00C27AC6">
        <w:rPr>
          <w:rFonts w:ascii="Arial" w:hAnsi="Arial" w:cs="Arial"/>
          <w:bCs/>
          <w:color w:val="000000"/>
          <w:spacing w:val="4"/>
          <w:sz w:val="24"/>
          <w:szCs w:val="24"/>
          <w:lang w:val="en-US"/>
        </w:rPr>
        <w:t>t</w:t>
      </w:r>
      <w:r w:rsidR="0017372F">
        <w:rPr>
          <w:rFonts w:ascii="Arial" w:hAnsi="Arial" w:cs="Arial"/>
          <w:bCs/>
          <w:color w:val="000000"/>
          <w:spacing w:val="4"/>
          <w:sz w:val="24"/>
          <w:szCs w:val="24"/>
          <w:lang w:val="en-US"/>
        </w:rPr>
        <w:t xml:space="preserve"> t</w:t>
      </w:r>
      <w:r w:rsidRPr="00C25775">
        <w:rPr>
          <w:rFonts w:ascii="Arial" w:hAnsi="Arial" w:cs="Arial"/>
          <w:bCs/>
          <w:color w:val="000000"/>
          <w:spacing w:val="4"/>
          <w:sz w:val="24"/>
          <w:szCs w:val="24"/>
          <w:lang w:val="en-US"/>
        </w:rPr>
        <w:t>helesionwas a Bellini tumor, wewouldhave done thesamewaysinceleavingthepatientondialysis and withrepeatedinfectionscould lead tobladderempyemaorrepeatedurosepsis.</w:t>
      </w:r>
    </w:p>
    <w:p w:rsidR="00000D4B" w:rsidRPr="00C25775" w:rsidRDefault="00000D4B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4"/>
          <w:szCs w:val="24"/>
          <w:lang w:val="en-US" w:eastAsia="en-US"/>
        </w:rPr>
      </w:pPr>
    </w:p>
    <w:p w:rsidR="00000D4B" w:rsidRPr="00C25775" w:rsidRDefault="00000D4B" w:rsidP="00721F0E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sz w:val="24"/>
          <w:szCs w:val="24"/>
          <w:lang w:val="en-US" w:eastAsia="en-US"/>
        </w:rPr>
      </w:pPr>
      <w:r w:rsidRPr="00C25775">
        <w:rPr>
          <w:rFonts w:ascii="Arial" w:eastAsiaTheme="minorHAnsi" w:hAnsi="Arial" w:cs="Arial"/>
          <w:b/>
          <w:sz w:val="24"/>
          <w:szCs w:val="24"/>
          <w:lang w:val="en-US" w:eastAsia="en-US"/>
        </w:rPr>
        <w:t>Conflicts de intere</w:t>
      </w:r>
      <w:r w:rsidR="00721F0E" w:rsidRPr="00C25775">
        <w:rPr>
          <w:rFonts w:ascii="Arial" w:eastAsiaTheme="minorHAnsi" w:hAnsi="Arial" w:cs="Arial"/>
          <w:b/>
          <w:sz w:val="24"/>
          <w:szCs w:val="24"/>
          <w:lang w:val="en-US" w:eastAsia="en-US"/>
        </w:rPr>
        <w:t>st</w:t>
      </w:r>
    </w:p>
    <w:p w:rsidR="00000D4B" w:rsidRPr="00C25775" w:rsidRDefault="00000D4B" w:rsidP="00721F0E">
      <w:pPr>
        <w:spacing w:line="240" w:lineRule="auto"/>
        <w:jc w:val="both"/>
        <w:rPr>
          <w:rFonts w:ascii="Arial" w:eastAsiaTheme="minorHAnsi" w:hAnsi="Arial" w:cs="Arial"/>
          <w:sz w:val="24"/>
          <w:szCs w:val="24"/>
          <w:lang w:val="en-US" w:eastAsia="en-US"/>
        </w:rPr>
      </w:pPr>
      <w:r w:rsidRPr="00C25775">
        <w:rPr>
          <w:rFonts w:ascii="Arial" w:eastAsiaTheme="minorHAnsi" w:hAnsi="Arial" w:cs="Arial"/>
          <w:sz w:val="24"/>
          <w:szCs w:val="24"/>
          <w:lang w:val="en-US" w:eastAsia="en-US"/>
        </w:rPr>
        <w:t>Theauthors declare thattheyhave no competinginterests.</w:t>
      </w:r>
    </w:p>
    <w:p w:rsidR="00000D4B" w:rsidRPr="00C25775" w:rsidRDefault="00000D4B" w:rsidP="00721F0E">
      <w:pPr>
        <w:spacing w:line="240" w:lineRule="auto"/>
        <w:jc w:val="both"/>
        <w:rPr>
          <w:rFonts w:ascii="Arial" w:hAnsi="Arial" w:cs="Arial"/>
          <w:b/>
          <w:bCs/>
          <w:color w:val="000000"/>
          <w:spacing w:val="4"/>
          <w:sz w:val="24"/>
          <w:szCs w:val="24"/>
          <w:lang w:val="en-US"/>
        </w:rPr>
      </w:pPr>
    </w:p>
    <w:p w:rsidR="00000D4B" w:rsidRPr="00057EA9" w:rsidRDefault="00721F0E" w:rsidP="00721F0E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57EA9">
        <w:rPr>
          <w:rFonts w:ascii="Arial" w:hAnsi="Arial" w:cs="Arial"/>
          <w:b/>
          <w:bCs/>
          <w:spacing w:val="4"/>
          <w:sz w:val="24"/>
          <w:szCs w:val="24"/>
        </w:rPr>
        <w:lastRenderedPageBreak/>
        <w:t>References</w:t>
      </w:r>
    </w:p>
    <w:p w:rsidR="00000D4B" w:rsidRPr="00057EA9" w:rsidRDefault="00000D4B" w:rsidP="00721F0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  <w:r w:rsidRPr="00057EA9">
        <w:rPr>
          <w:rFonts w:ascii="Arial" w:eastAsiaTheme="minorHAnsi" w:hAnsi="Arial" w:cs="Arial"/>
          <w:bCs/>
          <w:sz w:val="24"/>
          <w:szCs w:val="24"/>
          <w:lang w:eastAsia="en-US"/>
        </w:rPr>
        <w:t>Gutiérrez-Domingo A, Gutiérrez-Domingo I, Gallardo-Rodríguez K, Rodríguez-Caulo A.Carcinoma ofthecollectingductsof Bellini: a rareentitywith a poor prognosis</w:t>
      </w:r>
      <w:r w:rsidRPr="00057EA9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  <w:r w:rsidRPr="00057EA9">
        <w:rPr>
          <w:rFonts w:ascii="Arial" w:eastAsiaTheme="minorHAnsi" w:hAnsi="Arial" w:cs="Arial"/>
          <w:sz w:val="24"/>
          <w:szCs w:val="24"/>
          <w:lang w:val="en-US" w:eastAsia="en-US"/>
        </w:rPr>
        <w:t xml:space="preserve">Rev Mex Urol. 2017 May 26;77(3). </w:t>
      </w:r>
    </w:p>
    <w:p w:rsidR="00000D4B" w:rsidRPr="00057EA9" w:rsidRDefault="00000D4B" w:rsidP="00721F0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val="en-US" w:eastAsia="en-US"/>
        </w:rPr>
      </w:pPr>
    </w:p>
    <w:p w:rsidR="0000615D" w:rsidRPr="00057EA9" w:rsidRDefault="0000615D" w:rsidP="00721F0E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</w:p>
    <w:p w:rsidR="00000D4B" w:rsidRPr="00057EA9" w:rsidRDefault="00000D4B" w:rsidP="00721F0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ascii="Arial" w:eastAsiaTheme="minorHAnsi" w:hAnsi="Arial" w:cs="Arial"/>
          <w:b/>
          <w:bCs/>
          <w:color w:val="auto"/>
          <w:sz w:val="24"/>
          <w:szCs w:val="24"/>
          <w:u w:val="none"/>
          <w:lang w:eastAsia="en-US"/>
        </w:rPr>
      </w:pPr>
      <w:r w:rsidRPr="00057EA9">
        <w:rPr>
          <w:rFonts w:ascii="Arial" w:eastAsiaTheme="minorHAnsi" w:hAnsi="Arial" w:cs="Arial"/>
          <w:sz w:val="24"/>
          <w:szCs w:val="24"/>
          <w:lang w:eastAsia="en-US"/>
        </w:rPr>
        <w:t xml:space="preserve">P.P. Genov, N.H. Kolev, V.R. Dunev. </w:t>
      </w:r>
      <w:r w:rsidRPr="00057EA9">
        <w:rPr>
          <w:rFonts w:ascii="Arial" w:eastAsiaTheme="minorHAnsi" w:hAnsi="Arial" w:cs="Arial"/>
          <w:sz w:val="24"/>
          <w:szCs w:val="24"/>
          <w:lang w:val="en-US" w:eastAsia="en-US"/>
        </w:rPr>
        <w:t xml:space="preserve">Oncology. A rare case of Bellini duct carcinoma. </w:t>
      </w:r>
      <w:r w:rsidRPr="00057EA9">
        <w:rPr>
          <w:rFonts w:ascii="Arial" w:eastAsiaTheme="minorHAnsi" w:hAnsi="Arial" w:cs="Arial"/>
          <w:sz w:val="24"/>
          <w:szCs w:val="24"/>
          <w:lang w:eastAsia="en-US"/>
        </w:rPr>
        <w:t>Elsevier. Urology Case Reports</w:t>
      </w:r>
      <w:r w:rsidRPr="00057EA9">
        <w:rPr>
          <w:rFonts w:ascii="Arial" w:eastAsiaTheme="minorHAnsi" w:hAnsi="Arial" w:cs="Arial"/>
          <w:iCs/>
          <w:sz w:val="24"/>
          <w:szCs w:val="24"/>
          <w:lang w:eastAsia="en-US"/>
        </w:rPr>
        <w:t>25 (2019) 100899</w:t>
      </w:r>
      <w:r w:rsidRPr="00057EA9">
        <w:rPr>
          <w:rFonts w:ascii="Arial" w:eastAsiaTheme="minorHAnsi" w:hAnsi="Arial" w:cs="Arial"/>
          <w:sz w:val="24"/>
          <w:szCs w:val="24"/>
          <w:lang w:eastAsia="en-US"/>
        </w:rPr>
        <w:t xml:space="preserve">. </w:t>
      </w:r>
    </w:p>
    <w:p w:rsidR="00000D4B" w:rsidRPr="00057EA9" w:rsidRDefault="00000D4B" w:rsidP="00721F0E">
      <w:pPr>
        <w:pStyle w:val="ListParagraph"/>
        <w:spacing w:line="240" w:lineRule="auto"/>
        <w:jc w:val="both"/>
        <w:rPr>
          <w:rFonts w:ascii="Arial" w:eastAsiaTheme="minorHAnsi" w:hAnsi="Arial" w:cs="Arial"/>
          <w:bCs/>
          <w:sz w:val="24"/>
          <w:szCs w:val="24"/>
          <w:lang w:eastAsia="en-US"/>
        </w:rPr>
      </w:pPr>
    </w:p>
    <w:p w:rsidR="00EC322F" w:rsidRPr="00057EA9" w:rsidRDefault="00000D4B" w:rsidP="00721F0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Style w:val="Hyperlink"/>
          <w:rFonts w:ascii="Arial" w:eastAsiaTheme="minorHAnsi" w:hAnsi="Arial" w:cs="Arial"/>
          <w:b/>
          <w:bCs/>
          <w:color w:val="auto"/>
          <w:sz w:val="24"/>
          <w:szCs w:val="24"/>
          <w:u w:val="none"/>
          <w:lang w:val="en-US" w:eastAsia="en-US"/>
        </w:rPr>
      </w:pPr>
      <w:r w:rsidRPr="00057EA9">
        <w:rPr>
          <w:rFonts w:ascii="Arial" w:eastAsiaTheme="minorHAnsi" w:hAnsi="Arial" w:cs="Arial"/>
          <w:bCs/>
          <w:sz w:val="24"/>
          <w:szCs w:val="24"/>
          <w:lang w:val="en-US" w:eastAsia="en-US"/>
        </w:rPr>
        <w:t xml:space="preserve">Qian X, Wang Z, Zhang J, Wang Q, Zhou P, Wang S, et al. </w:t>
      </w:r>
      <w:r w:rsidRPr="00057EA9">
        <w:rPr>
          <w:rFonts w:ascii="Arial" w:eastAsiaTheme="minorHAnsi" w:hAnsi="Arial" w:cs="Arial"/>
          <w:sz w:val="24"/>
          <w:szCs w:val="24"/>
          <w:lang w:val="en-US" w:eastAsia="en-US"/>
        </w:rPr>
        <w:t xml:space="preserve">ClinicalFeatures and PrognosticOutcomeof Renal CollectingDuct Carcinoma:12 Cases from a Single Institution. CancerManag Res. 2020;12:3589–95. </w:t>
      </w:r>
    </w:p>
    <w:p w:rsidR="00EC322F" w:rsidRPr="00057EA9" w:rsidRDefault="00EC322F" w:rsidP="00721F0E">
      <w:pPr>
        <w:pStyle w:val="ListParagraph"/>
        <w:spacing w:line="240" w:lineRule="auto"/>
        <w:rPr>
          <w:lang w:val="en-US"/>
        </w:rPr>
      </w:pPr>
    </w:p>
    <w:p w:rsidR="00EC322F" w:rsidRPr="00057EA9" w:rsidRDefault="00EC322F" w:rsidP="00721F0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 w:rsidRPr="00057EA9">
        <w:rPr>
          <w:rFonts w:ascii="Arial" w:hAnsi="Arial" w:cs="Arial"/>
          <w:sz w:val="24"/>
          <w:szCs w:val="24"/>
        </w:rPr>
        <w:t>Gutiérrez-Zurimendi G., García de Casasola-Rodríguez G., Urrestizala-Peña I., Aizcorbe-Gómez M., Maldonado-De Sasia A., Urresola-Olabarrieta A. Renal carcinoma ofBellini'scollectingducts: presentationoftwo cases and reviewoftheliterature. Rev Mex Urol.2022;82(1): pp 1-10</w:t>
      </w:r>
    </w:p>
    <w:p w:rsidR="00EC322F" w:rsidRPr="00057EA9" w:rsidRDefault="00EC322F" w:rsidP="00721F0E">
      <w:pPr>
        <w:pStyle w:val="ListParagraph"/>
        <w:spacing w:line="240" w:lineRule="auto"/>
        <w:rPr>
          <w:rFonts w:ascii="Arial" w:hAnsi="Arial" w:cs="Arial"/>
          <w:sz w:val="24"/>
          <w:szCs w:val="24"/>
        </w:rPr>
      </w:pPr>
    </w:p>
    <w:p w:rsidR="00EC322F" w:rsidRPr="00057EA9" w:rsidRDefault="00EC322F" w:rsidP="00721F0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 w:rsidRPr="00057EA9">
        <w:rPr>
          <w:rFonts w:ascii="Arial" w:hAnsi="Arial" w:cs="Arial"/>
          <w:sz w:val="24"/>
          <w:szCs w:val="24"/>
        </w:rPr>
        <w:t xml:space="preserve"> Diego Barreiro, Victoria García Fernández, Francisco Castro Montiel, Norberto Lafos.</w:t>
      </w:r>
      <w:r w:rsidR="00057EA9" w:rsidRPr="00057EA9">
        <w:rPr>
          <w:rFonts w:ascii="Arial" w:hAnsi="Arial" w:cs="Arial"/>
          <w:sz w:val="24"/>
          <w:szCs w:val="24"/>
        </w:rPr>
        <w:t>Uroteliectomia .</w:t>
      </w:r>
      <w:r w:rsidRPr="00057EA9">
        <w:rPr>
          <w:rFonts w:ascii="Arial" w:hAnsi="Arial" w:cs="Arial"/>
          <w:sz w:val="24"/>
          <w:szCs w:val="24"/>
        </w:rPr>
        <w:t xml:space="preserve">Rev. Arg. </w:t>
      </w:r>
      <w:r w:rsidR="00057EA9" w:rsidRPr="00057EA9">
        <w:rPr>
          <w:rFonts w:ascii="Arial" w:hAnsi="Arial" w:cs="Arial"/>
          <w:sz w:val="24"/>
          <w:szCs w:val="24"/>
        </w:rPr>
        <w:t>O</w:t>
      </w:r>
      <w:r w:rsidRPr="00057EA9">
        <w:rPr>
          <w:rFonts w:ascii="Arial" w:hAnsi="Arial" w:cs="Arial"/>
          <w:sz w:val="24"/>
          <w:szCs w:val="24"/>
        </w:rPr>
        <w:t>fUrol. 2014. Vol. 79 (1) 2014 (38-39) (1):38-39</w:t>
      </w:r>
    </w:p>
    <w:p w:rsidR="00EC322F" w:rsidRPr="00EC322F" w:rsidRDefault="00EC322F" w:rsidP="00721F0E">
      <w:pPr>
        <w:pStyle w:val="ListParagraph"/>
        <w:spacing w:line="240" w:lineRule="auto"/>
        <w:rPr>
          <w:rStyle w:val="docsum-authors"/>
          <w:rFonts w:ascii="Arial" w:hAnsi="Arial" w:cs="Arial"/>
          <w:bCs/>
          <w:color w:val="000000" w:themeColor="text1"/>
          <w:sz w:val="24"/>
          <w:szCs w:val="24"/>
          <w:lang w:val="en-US"/>
        </w:rPr>
      </w:pPr>
    </w:p>
    <w:p w:rsidR="00000D4B" w:rsidRPr="00EC322F" w:rsidRDefault="00000D4B" w:rsidP="00721F0E">
      <w:pPr>
        <w:pStyle w:val="ListParagraph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Theme="minorHAnsi" w:hAnsi="Arial" w:cs="Arial"/>
          <w:b/>
          <w:bCs/>
          <w:sz w:val="24"/>
          <w:szCs w:val="24"/>
          <w:lang w:eastAsia="en-US"/>
        </w:rPr>
      </w:pPr>
      <w:r w:rsidRPr="00EC322F">
        <w:rPr>
          <w:rStyle w:val="docsum-authors"/>
          <w:rFonts w:ascii="Arial" w:hAnsi="Arial" w:cs="Arial"/>
          <w:bCs/>
          <w:color w:val="000000" w:themeColor="text1"/>
          <w:sz w:val="24"/>
          <w:szCs w:val="24"/>
          <w:lang w:val="en-US"/>
        </w:rPr>
        <w:t>Mebust WK</w:t>
      </w:r>
      <w:r w:rsidRPr="00EC322F">
        <w:rPr>
          <w:rStyle w:val="docsum-authors"/>
          <w:rFonts w:ascii="Arial" w:hAnsi="Arial" w:cs="Arial"/>
          <w:color w:val="000000" w:themeColor="text1"/>
          <w:sz w:val="24"/>
          <w:szCs w:val="24"/>
          <w:lang w:val="en-US"/>
        </w:rPr>
        <w:t>, Valk WL, Foret JD, Haskins R.</w:t>
      </w:r>
      <w:hyperlink r:id="rId18" w:history="1">
        <w:r w:rsidRPr="00EC322F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  <w:shd w:val="clear" w:color="auto" w:fill="FFFFFF"/>
            <w:lang w:val="en-US"/>
          </w:rPr>
          <w:t>The pathophysiology and therapy of empyema in the isolated bladder.</w:t>
        </w:r>
      </w:hyperlink>
      <w:r w:rsidRPr="00EC322F">
        <w:rPr>
          <w:rStyle w:val="docsum-journal-citation"/>
          <w:rFonts w:ascii="Arial" w:hAnsi="Arial" w:cs="Arial"/>
          <w:color w:val="000000" w:themeColor="text1"/>
          <w:sz w:val="24"/>
          <w:szCs w:val="24"/>
          <w:lang w:val="en-US"/>
        </w:rPr>
        <w:t xml:space="preserve">J Surg Oncol. 1973;5(2):89-95. </w:t>
      </w:r>
    </w:p>
    <w:p w:rsidR="002A5D76" w:rsidRDefault="002A5D76" w:rsidP="00721F0E">
      <w:pPr>
        <w:spacing w:line="240" w:lineRule="auto"/>
      </w:pPr>
    </w:p>
    <w:p w:rsidR="00EC322F" w:rsidRDefault="00EC322F"/>
    <w:p w:rsidR="00EC322F" w:rsidRDefault="00EC322F"/>
    <w:sectPr w:rsidR="00EC322F" w:rsidSect="00DB63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7254" w:rsidRDefault="00D37254" w:rsidP="00C25775">
      <w:pPr>
        <w:spacing w:after="0" w:line="240" w:lineRule="auto"/>
      </w:pPr>
      <w:r>
        <w:separator/>
      </w:r>
    </w:p>
  </w:endnote>
  <w:endnote w:type="continuationSeparator" w:id="1">
    <w:p w:rsidR="00D37254" w:rsidRDefault="00D37254" w:rsidP="00C257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altName w:val="Arial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7254" w:rsidRDefault="00D37254" w:rsidP="00C25775">
      <w:pPr>
        <w:spacing w:after="0" w:line="240" w:lineRule="auto"/>
      </w:pPr>
      <w:r>
        <w:separator/>
      </w:r>
    </w:p>
  </w:footnote>
  <w:footnote w:type="continuationSeparator" w:id="1">
    <w:p w:rsidR="00D37254" w:rsidRDefault="00D37254" w:rsidP="00C25775">
      <w:pPr>
        <w:spacing w:after="0" w:line="240" w:lineRule="auto"/>
      </w:pPr>
      <w:r>
        <w:continuationSeparator/>
      </w:r>
    </w:p>
  </w:footnote>
  <w:footnote w:id="2">
    <w:p w:rsidR="00C25775" w:rsidRPr="00C25775" w:rsidRDefault="00C25775">
      <w:pPr>
        <w:pStyle w:val="FootnoteText"/>
        <w:rPr>
          <w:lang w:val="es-AR"/>
        </w:rPr>
      </w:pPr>
      <w:r>
        <w:rPr>
          <w:rStyle w:val="FootnoteReference"/>
        </w:rPr>
        <w:footnoteRef/>
      </w:r>
      <w:r w:rsidRPr="00C25775">
        <w:rPr>
          <w:lang w:val="es-AR"/>
        </w:rPr>
        <w:t>Instituto de Investigaciones Medicas Alfredo Lanari, University of Buenos Aires, Argentina</w:t>
      </w:r>
    </w:p>
  </w:footnote>
  <w:footnote w:id="3">
    <w:p w:rsidR="00C25775" w:rsidRPr="00C25775" w:rsidRDefault="00C25775">
      <w:pPr>
        <w:pStyle w:val="FootnoteText"/>
        <w:rPr>
          <w:lang w:val="es-AR"/>
        </w:rPr>
      </w:pPr>
      <w:r>
        <w:rPr>
          <w:rStyle w:val="FootnoteReference"/>
        </w:rPr>
        <w:footnoteRef/>
      </w:r>
      <w:r w:rsidR="00C27AC6">
        <w:rPr>
          <w:lang w:val="es-AR"/>
        </w:rPr>
        <w:t>Hospital General Docente Iván Portuondo, Artemisa, Cuba.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E46CB1"/>
    <w:multiLevelType w:val="hybridMultilevel"/>
    <w:tmpl w:val="8298898A"/>
    <w:lvl w:ilvl="0" w:tplc="03E8170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00D4B"/>
    <w:rsid w:val="00000D4B"/>
    <w:rsid w:val="0000615D"/>
    <w:rsid w:val="00057EA9"/>
    <w:rsid w:val="000B039D"/>
    <w:rsid w:val="000B717A"/>
    <w:rsid w:val="0017372F"/>
    <w:rsid w:val="002A5D76"/>
    <w:rsid w:val="00617A26"/>
    <w:rsid w:val="00721F0E"/>
    <w:rsid w:val="00B67F59"/>
    <w:rsid w:val="00C25775"/>
    <w:rsid w:val="00C27AC6"/>
    <w:rsid w:val="00C628F5"/>
    <w:rsid w:val="00D37254"/>
    <w:rsid w:val="00D817BF"/>
    <w:rsid w:val="00DB63BE"/>
    <w:rsid w:val="00E4666F"/>
    <w:rsid w:val="00EC32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D4B"/>
    <w:rPr>
      <w:rFonts w:ascii="Calibri" w:eastAsia="Times New Roman" w:hAnsi="Calibri" w:cs="Times New Roman"/>
      <w:lang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00D4B"/>
    <w:rPr>
      <w:rFonts w:hint="default"/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000D4B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000D4B"/>
    <w:rPr>
      <w:i/>
      <w:iCs/>
    </w:rPr>
  </w:style>
  <w:style w:type="character" w:customStyle="1" w:styleId="docsum-authors">
    <w:name w:val="docsum-authors"/>
    <w:basedOn w:val="DefaultParagraphFont"/>
    <w:rsid w:val="00000D4B"/>
  </w:style>
  <w:style w:type="character" w:customStyle="1" w:styleId="docsum-journal-citation">
    <w:name w:val="docsum-journal-citation"/>
    <w:basedOn w:val="DefaultParagraphFont"/>
    <w:rsid w:val="00000D4B"/>
  </w:style>
  <w:style w:type="paragraph" w:styleId="FootnoteText">
    <w:name w:val="footnote text"/>
    <w:basedOn w:val="Normal"/>
    <w:link w:val="FootnoteTextChar"/>
    <w:uiPriority w:val="99"/>
    <w:unhideWhenUsed/>
    <w:rsid w:val="00C2577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C25775"/>
    <w:rPr>
      <w:rFonts w:ascii="Calibri" w:eastAsia="Times New Roman" w:hAnsi="Calibri" w:cs="Times New Roman"/>
      <w:sz w:val="20"/>
      <w:szCs w:val="20"/>
      <w:lang w:eastAsia="es-ES"/>
    </w:rPr>
  </w:style>
  <w:style w:type="character" w:styleId="FootnoteReference">
    <w:name w:val="footnote reference"/>
    <w:basedOn w:val="DefaultParagraphFont"/>
    <w:uiPriority w:val="99"/>
    <w:semiHidden/>
    <w:unhideWhenUsed/>
    <w:rsid w:val="00C25775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5775"/>
    <w:rPr>
      <w:rFonts w:ascii="Tahoma" w:eastAsia="Times New Roman" w:hAnsi="Tahoma" w:cs="Tahoma"/>
      <w:sz w:val="16"/>
      <w:szCs w:val="16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0D4B"/>
    <w:rPr>
      <w:rFonts w:ascii="Calibri" w:eastAsia="Times New Roman" w:hAnsi="Calibri" w:cs="Times New Roman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uiPriority w:val="99"/>
    <w:unhideWhenUsed/>
    <w:rsid w:val="00000D4B"/>
    <w:rPr>
      <w:rFonts w:hint="default"/>
      <w:color w:val="0563C1"/>
      <w:u w:val="single"/>
    </w:rPr>
  </w:style>
  <w:style w:type="paragraph" w:styleId="Prrafodelista">
    <w:name w:val="List Paragraph"/>
    <w:basedOn w:val="Normal"/>
    <w:uiPriority w:val="34"/>
    <w:qFormat/>
    <w:rsid w:val="00000D4B"/>
    <w:pPr>
      <w:ind w:left="720"/>
      <w:contextualSpacing/>
    </w:pPr>
  </w:style>
  <w:style w:type="character" w:styleId="Enfasis">
    <w:name w:val="Emphasis"/>
    <w:basedOn w:val="Fuentedeprrafopredeter"/>
    <w:uiPriority w:val="20"/>
    <w:qFormat/>
    <w:rsid w:val="00000D4B"/>
    <w:rPr>
      <w:i/>
      <w:iCs/>
    </w:rPr>
  </w:style>
  <w:style w:type="character" w:customStyle="1" w:styleId="docsum-authors">
    <w:name w:val="docsum-authors"/>
    <w:basedOn w:val="Fuentedeprrafopredeter"/>
    <w:rsid w:val="00000D4B"/>
  </w:style>
  <w:style w:type="character" w:customStyle="1" w:styleId="docsum-journal-citation">
    <w:name w:val="docsum-journal-citation"/>
    <w:basedOn w:val="Fuentedeprrafopredeter"/>
    <w:rsid w:val="00000D4B"/>
  </w:style>
  <w:style w:type="paragraph" w:styleId="Textonotapie">
    <w:name w:val="footnote text"/>
    <w:basedOn w:val="Normal"/>
    <w:link w:val="TextonotapieCar"/>
    <w:uiPriority w:val="99"/>
    <w:unhideWhenUsed/>
    <w:rsid w:val="00C25775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C25775"/>
    <w:rPr>
      <w:rFonts w:ascii="Calibri" w:eastAsia="Times New Roman" w:hAnsi="Calibri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C25775"/>
    <w:rPr>
      <w:vertAlign w:val="superscrip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5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5775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hyperlink" Target="https://pubmed.ncbi.nlm.nih.gov/4703846/" TargetMode="Externa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cid:E1F17687-6FC9-4D94-9609-3A8C7957C80F" TargetMode="External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537771-5335-5A4C-9A04-01EFCC79C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426</TotalTime>
  <Pages>1</Pages>
  <Words>781</Words>
  <Characters>4452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Lazaro Deinys Rodríguez Borrego</dc:creator>
  <cp:lastModifiedBy>Windows User</cp:lastModifiedBy>
  <cp:revision>4</cp:revision>
  <dcterms:created xsi:type="dcterms:W3CDTF">2022-07-10T12:23:00Z</dcterms:created>
  <dcterms:modified xsi:type="dcterms:W3CDTF">2022-07-10T19:26:00Z</dcterms:modified>
</cp:coreProperties>
</file>