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6629" w14:textId="77777777" w:rsidR="00176E57" w:rsidRDefault="00176E57" w:rsidP="008619EB">
      <w:pPr>
        <w:jc w:val="both"/>
        <w:rPr>
          <w:b/>
          <w:sz w:val="24"/>
          <w:szCs w:val="24"/>
          <w:lang w:val="en-US"/>
        </w:rPr>
      </w:pPr>
    </w:p>
    <w:p w14:paraId="0D171355" w14:textId="77777777" w:rsidR="00405F0D" w:rsidRPr="004E56B2" w:rsidRDefault="002C7ED5" w:rsidP="004E56B2">
      <w:pPr>
        <w:jc w:val="both"/>
        <w:rPr>
          <w:b/>
          <w:sz w:val="24"/>
          <w:szCs w:val="24"/>
          <w:lang w:val="en-US"/>
        </w:rPr>
      </w:pPr>
      <w:r w:rsidRPr="004E56B2">
        <w:rPr>
          <w:b/>
          <w:sz w:val="24"/>
          <w:szCs w:val="24"/>
          <w:lang w:val="en-US"/>
        </w:rPr>
        <w:t>Possible scenarios of the development</w:t>
      </w:r>
      <w:r w:rsidR="00405F0D" w:rsidRPr="004E56B2">
        <w:rPr>
          <w:b/>
          <w:sz w:val="24"/>
          <w:szCs w:val="24"/>
          <w:lang w:val="en-US"/>
        </w:rPr>
        <w:t xml:space="preserve"> antibiotic resistance in patients with UTI after COVID-19 pandemic era</w:t>
      </w:r>
    </w:p>
    <w:p w14:paraId="494D4EAA" w14:textId="6802E321" w:rsidR="00405F0D" w:rsidRPr="00986BC7" w:rsidRDefault="00405F0D" w:rsidP="008619EB">
      <w:pPr>
        <w:jc w:val="both"/>
        <w:rPr>
          <w:b/>
          <w:bCs/>
          <w:sz w:val="24"/>
          <w:szCs w:val="24"/>
          <w:lang w:val="en-US"/>
        </w:rPr>
      </w:pPr>
      <w:proofErr w:type="spellStart"/>
      <w:r w:rsidRPr="004A561A">
        <w:rPr>
          <w:sz w:val="24"/>
          <w:szCs w:val="24"/>
          <w:lang w:val="en-US"/>
        </w:rPr>
        <w:t>Krakhotkin</w:t>
      </w:r>
      <w:proofErr w:type="spellEnd"/>
      <w:r w:rsidRPr="004A561A">
        <w:rPr>
          <w:sz w:val="24"/>
          <w:szCs w:val="24"/>
          <w:lang w:val="en-US"/>
        </w:rPr>
        <w:t xml:space="preserve"> D.V</w:t>
      </w:r>
      <w:r w:rsidRPr="004A561A">
        <w:rPr>
          <w:sz w:val="24"/>
          <w:szCs w:val="24"/>
          <w:vertAlign w:val="superscript"/>
          <w:lang w:val="en-US"/>
        </w:rPr>
        <w:t>1</w:t>
      </w:r>
      <w:r w:rsidRPr="004A561A">
        <w:rPr>
          <w:sz w:val="24"/>
          <w:szCs w:val="24"/>
          <w:lang w:val="en-US"/>
        </w:rPr>
        <w:t xml:space="preserve">, </w:t>
      </w:r>
      <w:proofErr w:type="spellStart"/>
      <w:r w:rsidRPr="004A561A">
        <w:rPr>
          <w:sz w:val="24"/>
          <w:szCs w:val="24"/>
          <w:lang w:val="en-US"/>
        </w:rPr>
        <w:t>Chernylovskyi</w:t>
      </w:r>
      <w:proofErr w:type="spellEnd"/>
      <w:r w:rsidRPr="004A561A">
        <w:rPr>
          <w:sz w:val="24"/>
          <w:szCs w:val="24"/>
          <w:lang w:val="en-US"/>
        </w:rPr>
        <w:t xml:space="preserve"> V.A</w:t>
      </w:r>
      <w:r w:rsidRPr="004A561A">
        <w:rPr>
          <w:sz w:val="24"/>
          <w:szCs w:val="24"/>
          <w:vertAlign w:val="superscript"/>
          <w:lang w:val="en-US"/>
        </w:rPr>
        <w:t>2</w:t>
      </w:r>
      <w:r w:rsidR="00C26FD9">
        <w:rPr>
          <w:sz w:val="24"/>
          <w:szCs w:val="24"/>
          <w:lang w:val="en-US"/>
        </w:rPr>
        <w:t>, Greco F</w:t>
      </w:r>
      <w:r w:rsidR="00C26FD9">
        <w:rPr>
          <w:sz w:val="24"/>
          <w:szCs w:val="24"/>
          <w:vertAlign w:val="superscript"/>
          <w:lang w:val="en-US"/>
        </w:rPr>
        <w:t>3</w:t>
      </w:r>
      <w:r w:rsidR="00986BC7">
        <w:rPr>
          <w:sz w:val="24"/>
          <w:szCs w:val="24"/>
          <w:lang w:val="en-US"/>
        </w:rPr>
        <w:t xml:space="preserve">, </w:t>
      </w:r>
      <w:proofErr w:type="spellStart"/>
      <w:r w:rsidR="00986BC7">
        <w:rPr>
          <w:sz w:val="24"/>
          <w:szCs w:val="24"/>
          <w:lang w:val="en-US"/>
        </w:rPr>
        <w:t>Halilov</w:t>
      </w:r>
      <w:proofErr w:type="spellEnd"/>
      <w:r w:rsidR="00986BC7">
        <w:rPr>
          <w:sz w:val="24"/>
          <w:szCs w:val="24"/>
          <w:lang w:val="en-US"/>
        </w:rPr>
        <w:t xml:space="preserve"> S.M</w:t>
      </w:r>
      <w:r w:rsidR="00986BC7" w:rsidRPr="00986BC7">
        <w:rPr>
          <w:sz w:val="24"/>
          <w:szCs w:val="24"/>
          <w:vertAlign w:val="superscript"/>
          <w:lang w:val="en-US"/>
        </w:rPr>
        <w:t>4</w:t>
      </w:r>
    </w:p>
    <w:p w14:paraId="35CF9EBC" w14:textId="77777777" w:rsidR="00405F0D" w:rsidRPr="004A561A" w:rsidRDefault="00405F0D" w:rsidP="008619EB">
      <w:pPr>
        <w:jc w:val="both"/>
        <w:rPr>
          <w:sz w:val="24"/>
          <w:szCs w:val="24"/>
          <w:lang w:val="en-US"/>
        </w:rPr>
      </w:pPr>
      <w:r w:rsidRPr="004A561A">
        <w:rPr>
          <w:sz w:val="24"/>
          <w:szCs w:val="24"/>
          <w:vertAlign w:val="superscript"/>
          <w:lang w:val="en-US"/>
        </w:rPr>
        <w:t>1</w:t>
      </w:r>
      <w:r w:rsidRPr="004A561A">
        <w:rPr>
          <w:sz w:val="24"/>
          <w:szCs w:val="24"/>
          <w:lang w:val="en-US"/>
        </w:rPr>
        <w:t xml:space="preserve">Central District Hospital, Outpatient Department, </w:t>
      </w:r>
      <w:proofErr w:type="spellStart"/>
      <w:r w:rsidRPr="004A561A">
        <w:rPr>
          <w:sz w:val="24"/>
          <w:szCs w:val="24"/>
          <w:lang w:val="en-US"/>
        </w:rPr>
        <w:t>Kamenolomni</w:t>
      </w:r>
      <w:proofErr w:type="spellEnd"/>
      <w:r w:rsidRPr="004A561A">
        <w:rPr>
          <w:sz w:val="24"/>
          <w:szCs w:val="24"/>
          <w:lang w:val="en-US"/>
        </w:rPr>
        <w:t>, Rostov Region 346480, Russia.</w:t>
      </w:r>
    </w:p>
    <w:p w14:paraId="79095701" w14:textId="77777777" w:rsidR="00405F0D" w:rsidRPr="004A561A" w:rsidRDefault="00405F0D" w:rsidP="008619EB">
      <w:pPr>
        <w:jc w:val="both"/>
        <w:rPr>
          <w:sz w:val="24"/>
          <w:szCs w:val="24"/>
          <w:lang w:val="en-US"/>
        </w:rPr>
      </w:pPr>
      <w:r w:rsidRPr="004A561A">
        <w:rPr>
          <w:sz w:val="24"/>
          <w:szCs w:val="24"/>
          <w:vertAlign w:val="superscript"/>
          <w:lang w:val="en-US"/>
        </w:rPr>
        <w:t>2</w:t>
      </w:r>
      <w:r w:rsidRPr="004A561A">
        <w:rPr>
          <w:sz w:val="24"/>
          <w:szCs w:val="24"/>
          <w:lang w:val="en-US"/>
        </w:rPr>
        <w:t>Department of Urology 1, City Clinical Hospital No. 4, Dnipro 49102, Ukraine.</w:t>
      </w:r>
    </w:p>
    <w:p w14:paraId="765BB0DB" w14:textId="51D04633" w:rsidR="009A439D" w:rsidRDefault="00C26FD9" w:rsidP="008619EB">
      <w:pPr>
        <w:jc w:val="both"/>
        <w:rPr>
          <w:sz w:val="24"/>
          <w:szCs w:val="24"/>
          <w:lang w:val="it-IT"/>
        </w:rPr>
      </w:pPr>
      <w:r w:rsidRPr="00C26FD9">
        <w:rPr>
          <w:sz w:val="24"/>
          <w:szCs w:val="24"/>
          <w:vertAlign w:val="superscript"/>
          <w:lang w:val="it-IT"/>
        </w:rPr>
        <w:t xml:space="preserve">3 </w:t>
      </w:r>
      <w:r w:rsidRPr="00C26FD9">
        <w:rPr>
          <w:sz w:val="24"/>
          <w:szCs w:val="24"/>
          <w:lang w:val="it-IT"/>
        </w:rPr>
        <w:t xml:space="preserve">Urology Unit, Centro Salute Uomo, </w:t>
      </w:r>
      <w:r>
        <w:rPr>
          <w:sz w:val="24"/>
          <w:szCs w:val="24"/>
          <w:lang w:val="it-IT"/>
        </w:rPr>
        <w:t>Bergamo, Italy</w:t>
      </w:r>
    </w:p>
    <w:p w14:paraId="3E21EADE" w14:textId="6F886DBD" w:rsidR="00986BC7" w:rsidRDefault="00986BC7" w:rsidP="008619EB">
      <w:pPr>
        <w:jc w:val="both"/>
        <w:rPr>
          <w:sz w:val="24"/>
          <w:szCs w:val="24"/>
          <w:lang w:val="en-US"/>
        </w:rPr>
      </w:pPr>
      <w:r w:rsidRPr="00986BC7">
        <w:rPr>
          <w:sz w:val="24"/>
          <w:szCs w:val="24"/>
          <w:vertAlign w:val="superscript"/>
          <w:lang w:val="it-IT"/>
        </w:rPr>
        <w:t>4</w:t>
      </w:r>
      <w:r>
        <w:rPr>
          <w:sz w:val="24"/>
          <w:szCs w:val="24"/>
          <w:lang w:val="it-IT"/>
        </w:rPr>
        <w:t xml:space="preserve">Department of Urology, City Clinical Hospital </w:t>
      </w:r>
      <w:r w:rsidRPr="00986BC7">
        <w:rPr>
          <w:sz w:val="24"/>
          <w:szCs w:val="24"/>
          <w:lang w:val="en-US"/>
        </w:rPr>
        <w:t xml:space="preserve">№ 1, </w:t>
      </w:r>
      <w:r>
        <w:rPr>
          <w:sz w:val="24"/>
          <w:szCs w:val="24"/>
          <w:lang w:val="en-US"/>
        </w:rPr>
        <w:t>Tashkent, Uzbekistan.</w:t>
      </w:r>
    </w:p>
    <w:p w14:paraId="3E17314F" w14:textId="117C6DBD" w:rsidR="00B322D8" w:rsidRPr="001127CE" w:rsidRDefault="00B322D8" w:rsidP="008619EB">
      <w:pPr>
        <w:jc w:val="both"/>
        <w:rPr>
          <w:sz w:val="24"/>
          <w:szCs w:val="24"/>
          <w:lang w:val="en-US"/>
        </w:rPr>
      </w:pPr>
      <w:r w:rsidRPr="00BF7F90">
        <w:rPr>
          <w:b/>
          <w:sz w:val="24"/>
          <w:szCs w:val="24"/>
          <w:lang w:val="en-US"/>
        </w:rPr>
        <w:t>Corresponding author:</w:t>
      </w:r>
      <w:r w:rsidRPr="001127CE">
        <w:rPr>
          <w:sz w:val="24"/>
          <w:szCs w:val="24"/>
          <w:lang w:val="en-US"/>
        </w:rPr>
        <w:t xml:space="preserve"> </w:t>
      </w:r>
      <w:proofErr w:type="spellStart"/>
      <w:r w:rsidR="001127CE" w:rsidRPr="001127CE">
        <w:rPr>
          <w:sz w:val="24"/>
          <w:szCs w:val="24"/>
          <w:lang w:val="en-US"/>
        </w:rPr>
        <w:t>Volodymyr</w:t>
      </w:r>
      <w:proofErr w:type="spellEnd"/>
      <w:r w:rsidR="001127CE" w:rsidRPr="001127CE">
        <w:rPr>
          <w:sz w:val="24"/>
          <w:szCs w:val="24"/>
          <w:lang w:val="en-US"/>
        </w:rPr>
        <w:t xml:space="preserve"> A. </w:t>
      </w:r>
      <w:proofErr w:type="spellStart"/>
      <w:r w:rsidR="001127CE" w:rsidRPr="001127CE">
        <w:rPr>
          <w:sz w:val="24"/>
          <w:szCs w:val="24"/>
          <w:lang w:val="en-US"/>
        </w:rPr>
        <w:t>Chernylovskyi</w:t>
      </w:r>
      <w:proofErr w:type="spellEnd"/>
      <w:r w:rsidR="001127CE" w:rsidRPr="001127CE">
        <w:rPr>
          <w:sz w:val="24"/>
          <w:szCs w:val="24"/>
          <w:lang w:val="en-US"/>
        </w:rPr>
        <w:t xml:space="preserve"> City Clinical Hospital No. 4 31 </w:t>
      </w:r>
      <w:proofErr w:type="spellStart"/>
      <w:r w:rsidR="001127CE" w:rsidRPr="001127CE">
        <w:rPr>
          <w:sz w:val="24"/>
          <w:szCs w:val="24"/>
          <w:lang w:val="en-US"/>
        </w:rPr>
        <w:t>Blizhnya</w:t>
      </w:r>
      <w:proofErr w:type="spellEnd"/>
      <w:r w:rsidR="001127CE" w:rsidRPr="001127CE">
        <w:rPr>
          <w:sz w:val="24"/>
          <w:szCs w:val="24"/>
          <w:lang w:val="en-US"/>
        </w:rPr>
        <w:t xml:space="preserve"> St., 49102 Dnipro, Ukraine </w:t>
      </w:r>
      <w:proofErr w:type="spellStart"/>
      <w:r w:rsidR="001127CE" w:rsidRPr="001127CE">
        <w:rPr>
          <w:sz w:val="24"/>
          <w:szCs w:val="24"/>
          <w:lang w:val="en-US"/>
        </w:rPr>
        <w:t>tel</w:t>
      </w:r>
      <w:proofErr w:type="spellEnd"/>
      <w:r w:rsidR="001127CE" w:rsidRPr="001127CE">
        <w:rPr>
          <w:sz w:val="24"/>
          <w:szCs w:val="24"/>
          <w:lang w:val="en-US"/>
        </w:rPr>
        <w:t>: +380973695672 e-mail: chernylovskyi@gmail.com</w:t>
      </w:r>
    </w:p>
    <w:p w14:paraId="0A57176C" w14:textId="77777777" w:rsidR="00B322D8" w:rsidRDefault="00B322D8" w:rsidP="008619EB">
      <w:pPr>
        <w:jc w:val="both"/>
        <w:rPr>
          <w:sz w:val="24"/>
          <w:szCs w:val="24"/>
          <w:lang w:val="en-US"/>
        </w:rPr>
      </w:pPr>
    </w:p>
    <w:p w14:paraId="369CA630" w14:textId="1ACB7513" w:rsidR="00721968" w:rsidRPr="00B322D8" w:rsidRDefault="00721968" w:rsidP="008619EB">
      <w:pPr>
        <w:jc w:val="both"/>
        <w:rPr>
          <w:sz w:val="24"/>
          <w:szCs w:val="24"/>
          <w:lang w:val="en-US"/>
        </w:rPr>
      </w:pPr>
      <w:r w:rsidRPr="0016406B">
        <w:rPr>
          <w:b/>
          <w:sz w:val="24"/>
          <w:szCs w:val="24"/>
          <w:lang w:val="en-US"/>
        </w:rPr>
        <w:t>Abstract</w:t>
      </w:r>
      <w:bookmarkStart w:id="0" w:name="_GoBack"/>
      <w:bookmarkEnd w:id="0"/>
    </w:p>
    <w:p w14:paraId="32A0572E" w14:textId="77777777" w:rsidR="0040740C" w:rsidRPr="00160610" w:rsidRDefault="004A561A" w:rsidP="00216771">
      <w:pPr>
        <w:spacing w:line="480" w:lineRule="auto"/>
        <w:jc w:val="both"/>
        <w:rPr>
          <w:sz w:val="24"/>
          <w:szCs w:val="24"/>
          <w:lang w:val="en-US"/>
        </w:rPr>
      </w:pPr>
      <w:r w:rsidRPr="00160610">
        <w:rPr>
          <w:sz w:val="24"/>
          <w:szCs w:val="24"/>
          <w:lang w:val="en-US"/>
        </w:rPr>
        <w:t xml:space="preserve">An outbreak of </w:t>
      </w:r>
      <w:r w:rsidR="0016406B" w:rsidRPr="00160610">
        <w:rPr>
          <w:sz w:val="24"/>
          <w:szCs w:val="24"/>
          <w:lang w:val="en-US"/>
        </w:rPr>
        <w:t xml:space="preserve">Severe Acute Respiratory Syndrome Coronavirus-2 (SARS-CoV-2), the causative pathogen for the COVID-19 </w:t>
      </w:r>
      <w:proofErr w:type="gramStart"/>
      <w:r w:rsidRPr="00160610">
        <w:rPr>
          <w:sz w:val="24"/>
          <w:szCs w:val="24"/>
          <w:lang w:val="en-US"/>
        </w:rPr>
        <w:t>was reported</w:t>
      </w:r>
      <w:proofErr w:type="gramEnd"/>
      <w:r w:rsidRPr="00160610">
        <w:rPr>
          <w:sz w:val="24"/>
          <w:szCs w:val="24"/>
          <w:lang w:val="en-US"/>
        </w:rPr>
        <w:t xml:space="preserve"> at the end of December 2019 </w:t>
      </w:r>
      <w:r w:rsidR="0016406B" w:rsidRPr="00160610">
        <w:rPr>
          <w:sz w:val="24"/>
          <w:szCs w:val="24"/>
          <w:lang w:val="en-US"/>
        </w:rPr>
        <w:t xml:space="preserve">in Wuhan, Hubei province, China and by March 2020, it was declared a pandemic COVID-19. In </w:t>
      </w:r>
      <w:r w:rsidR="0040740C" w:rsidRPr="00160610">
        <w:rPr>
          <w:sz w:val="24"/>
          <w:szCs w:val="24"/>
          <w:lang w:val="en-US"/>
        </w:rPr>
        <w:t xml:space="preserve">hospital and critical care department’s settings, </w:t>
      </w:r>
      <w:r w:rsidR="007B3254" w:rsidRPr="00160610">
        <w:rPr>
          <w:sz w:val="24"/>
          <w:szCs w:val="24"/>
          <w:lang w:val="en-US"/>
        </w:rPr>
        <w:t xml:space="preserve">majority </w:t>
      </w:r>
      <w:r w:rsidR="0040740C" w:rsidRPr="00160610">
        <w:rPr>
          <w:sz w:val="24"/>
          <w:szCs w:val="24"/>
          <w:lang w:val="en-US"/>
        </w:rPr>
        <w:t>patients with COVID-19 receive broad-spectrum antibiotics</w:t>
      </w:r>
      <w:r w:rsidR="00667C12" w:rsidRPr="00160610">
        <w:rPr>
          <w:sz w:val="24"/>
          <w:szCs w:val="24"/>
          <w:lang w:val="en-US"/>
        </w:rPr>
        <w:t xml:space="preserve"> for treatment secondary infection complications</w:t>
      </w:r>
      <w:r w:rsidR="0040740C" w:rsidRPr="00160610">
        <w:rPr>
          <w:sz w:val="24"/>
          <w:szCs w:val="24"/>
          <w:lang w:val="en-US"/>
        </w:rPr>
        <w:t xml:space="preserve">. </w:t>
      </w:r>
      <w:r w:rsidR="004B1D13" w:rsidRPr="00160610">
        <w:rPr>
          <w:sz w:val="24"/>
          <w:szCs w:val="24"/>
          <w:lang w:val="en-US"/>
        </w:rPr>
        <w:t xml:space="preserve">In </w:t>
      </w:r>
      <w:r w:rsidR="004B1D13" w:rsidRPr="00160610">
        <w:rPr>
          <w:bCs/>
          <w:sz w:val="24"/>
          <w:szCs w:val="24"/>
          <w:lang w:val="en-US"/>
        </w:rPr>
        <w:t xml:space="preserve">patients </w:t>
      </w:r>
      <w:r w:rsidR="00870D25" w:rsidRPr="00160610">
        <w:rPr>
          <w:bCs/>
          <w:sz w:val="24"/>
          <w:szCs w:val="24"/>
          <w:lang w:val="en-US"/>
        </w:rPr>
        <w:t>affected by</w:t>
      </w:r>
      <w:r w:rsidR="004B1D13" w:rsidRPr="00160610">
        <w:rPr>
          <w:bCs/>
          <w:sz w:val="24"/>
          <w:szCs w:val="24"/>
          <w:lang w:val="en-US"/>
        </w:rPr>
        <w:t xml:space="preserve"> COVID-19</w:t>
      </w:r>
      <w:r w:rsidR="00870D25" w:rsidRPr="00160610">
        <w:rPr>
          <w:bCs/>
          <w:sz w:val="24"/>
          <w:szCs w:val="24"/>
          <w:lang w:val="en-US"/>
        </w:rPr>
        <w:t>,</w:t>
      </w:r>
      <w:r w:rsidR="007B3254" w:rsidRPr="00160610">
        <w:rPr>
          <w:bCs/>
          <w:sz w:val="24"/>
          <w:szCs w:val="24"/>
          <w:lang w:val="en-US"/>
        </w:rPr>
        <w:t xml:space="preserve"> who had a </w:t>
      </w:r>
      <w:r w:rsidR="00DD70F0" w:rsidRPr="00160610">
        <w:rPr>
          <w:bCs/>
          <w:sz w:val="24"/>
          <w:szCs w:val="24"/>
          <w:lang w:val="en-US"/>
        </w:rPr>
        <w:t xml:space="preserve">suspected </w:t>
      </w:r>
      <w:r w:rsidR="00BF6393" w:rsidRPr="00160610">
        <w:rPr>
          <w:bCs/>
          <w:sz w:val="24"/>
          <w:szCs w:val="24"/>
          <w:lang w:val="en-US"/>
        </w:rPr>
        <w:t xml:space="preserve">secondary </w:t>
      </w:r>
      <w:r w:rsidR="00DD70F0" w:rsidRPr="00160610">
        <w:rPr>
          <w:bCs/>
          <w:sz w:val="24"/>
          <w:szCs w:val="24"/>
          <w:lang w:val="en-US"/>
        </w:rPr>
        <w:t>bacterial superinfection</w:t>
      </w:r>
      <w:r w:rsidR="00870D25" w:rsidRPr="00160610">
        <w:rPr>
          <w:bCs/>
          <w:sz w:val="24"/>
          <w:szCs w:val="24"/>
          <w:lang w:val="en-US"/>
        </w:rPr>
        <w:t xml:space="preserve">, </w:t>
      </w:r>
      <w:r w:rsidR="004B1D13" w:rsidRPr="00160610">
        <w:rPr>
          <w:bCs/>
          <w:sz w:val="24"/>
          <w:szCs w:val="24"/>
          <w:lang w:val="en-US"/>
        </w:rPr>
        <w:t>antibiotic</w:t>
      </w:r>
      <w:r w:rsidR="00667C12" w:rsidRPr="00160610">
        <w:rPr>
          <w:bCs/>
          <w:sz w:val="24"/>
          <w:szCs w:val="24"/>
          <w:lang w:val="en-US"/>
        </w:rPr>
        <w:t>s</w:t>
      </w:r>
      <w:r w:rsidR="00870D25" w:rsidRPr="00160610">
        <w:rPr>
          <w:bCs/>
          <w:sz w:val="24"/>
          <w:szCs w:val="24"/>
          <w:lang w:val="en-US"/>
        </w:rPr>
        <w:t xml:space="preserve"> including</w:t>
      </w:r>
      <w:r w:rsidR="004B1D13" w:rsidRPr="00160610">
        <w:rPr>
          <w:bCs/>
          <w:sz w:val="24"/>
          <w:szCs w:val="24"/>
          <w:lang w:val="en-US"/>
        </w:rPr>
        <w:t xml:space="preserve"> </w:t>
      </w:r>
      <w:proofErr w:type="spellStart"/>
      <w:r w:rsidR="00695D10" w:rsidRPr="00160610">
        <w:rPr>
          <w:bCs/>
          <w:sz w:val="24"/>
          <w:szCs w:val="24"/>
          <w:lang w:val="en-US"/>
        </w:rPr>
        <w:t>teicoplanin</w:t>
      </w:r>
      <w:proofErr w:type="spellEnd"/>
      <w:r w:rsidR="00695D10" w:rsidRPr="00160610">
        <w:rPr>
          <w:bCs/>
          <w:sz w:val="24"/>
          <w:szCs w:val="24"/>
          <w:lang w:val="en-US"/>
        </w:rPr>
        <w:t xml:space="preserve">, </w:t>
      </w:r>
      <w:r w:rsidR="00976E9B" w:rsidRPr="00160610">
        <w:rPr>
          <w:bCs/>
          <w:sz w:val="24"/>
          <w:szCs w:val="24"/>
          <w:lang w:val="en-US"/>
        </w:rPr>
        <w:t>clarithromycin, doxycycline,</w:t>
      </w:r>
      <w:r w:rsidR="000C7F4E" w:rsidRPr="00160610">
        <w:rPr>
          <w:bCs/>
          <w:sz w:val="24"/>
          <w:szCs w:val="24"/>
          <w:lang w:val="en-US"/>
        </w:rPr>
        <w:t xml:space="preserve"> azithromycin,</w:t>
      </w:r>
      <w:r w:rsidR="00976E9B" w:rsidRPr="00160610">
        <w:rPr>
          <w:bCs/>
          <w:sz w:val="24"/>
          <w:szCs w:val="24"/>
          <w:lang w:val="en-US"/>
        </w:rPr>
        <w:t xml:space="preserve"> </w:t>
      </w:r>
      <w:proofErr w:type="spellStart"/>
      <w:r w:rsidR="00976E9B" w:rsidRPr="00160610">
        <w:rPr>
          <w:bCs/>
          <w:sz w:val="24"/>
          <w:szCs w:val="24"/>
          <w:lang w:val="en-US"/>
        </w:rPr>
        <w:t>tetracyclines</w:t>
      </w:r>
      <w:proofErr w:type="spellEnd"/>
      <w:r w:rsidR="00976E9B" w:rsidRPr="00160610">
        <w:rPr>
          <w:bCs/>
          <w:sz w:val="24"/>
          <w:szCs w:val="24"/>
          <w:lang w:val="en-US"/>
        </w:rPr>
        <w:t xml:space="preserve">, levofloxacin, </w:t>
      </w:r>
      <w:proofErr w:type="spellStart"/>
      <w:r w:rsidR="00976E9B" w:rsidRPr="00160610">
        <w:rPr>
          <w:bCs/>
          <w:sz w:val="24"/>
          <w:szCs w:val="24"/>
          <w:lang w:val="en-US"/>
        </w:rPr>
        <w:t>moxifloxacin</w:t>
      </w:r>
      <w:proofErr w:type="spellEnd"/>
      <w:r w:rsidR="00976E9B" w:rsidRPr="00160610">
        <w:rPr>
          <w:bCs/>
          <w:sz w:val="24"/>
          <w:szCs w:val="24"/>
          <w:lang w:val="en-US"/>
        </w:rPr>
        <w:t xml:space="preserve">, ciprofloxacin, and </w:t>
      </w:r>
      <w:proofErr w:type="spellStart"/>
      <w:r w:rsidR="00976E9B" w:rsidRPr="00160610">
        <w:rPr>
          <w:bCs/>
          <w:sz w:val="24"/>
          <w:szCs w:val="24"/>
          <w:lang w:val="en-US"/>
        </w:rPr>
        <w:t>ce</w:t>
      </w:r>
      <w:r w:rsidR="00177ABA" w:rsidRPr="00160610">
        <w:rPr>
          <w:bCs/>
          <w:sz w:val="24"/>
          <w:szCs w:val="24"/>
          <w:lang w:val="en-US"/>
        </w:rPr>
        <w:t>phalosporins</w:t>
      </w:r>
      <w:proofErr w:type="spellEnd"/>
      <w:r w:rsidR="00177ABA" w:rsidRPr="00160610">
        <w:rPr>
          <w:bCs/>
          <w:sz w:val="24"/>
          <w:szCs w:val="24"/>
          <w:lang w:val="en-US"/>
        </w:rPr>
        <w:t xml:space="preserve"> 3d generation</w:t>
      </w:r>
      <w:r w:rsidR="00870D25" w:rsidRPr="00160610">
        <w:rPr>
          <w:bCs/>
          <w:sz w:val="24"/>
          <w:szCs w:val="24"/>
          <w:lang w:val="en-US"/>
        </w:rPr>
        <w:t xml:space="preserve"> were proposed as effective treatment</w:t>
      </w:r>
      <w:r w:rsidR="00976E9B" w:rsidRPr="00160610">
        <w:rPr>
          <w:sz w:val="24"/>
          <w:szCs w:val="24"/>
          <w:lang w:val="en-US"/>
        </w:rPr>
        <w:t>.</w:t>
      </w:r>
      <w:r w:rsidR="004B1D13" w:rsidRPr="00160610">
        <w:rPr>
          <w:sz w:val="24"/>
          <w:szCs w:val="24"/>
          <w:lang w:val="en-US"/>
        </w:rPr>
        <w:t xml:space="preserve"> </w:t>
      </w:r>
      <w:r w:rsidR="00A93599" w:rsidRPr="00160610">
        <w:rPr>
          <w:sz w:val="24"/>
          <w:szCs w:val="24"/>
          <w:lang w:val="en-US"/>
        </w:rPr>
        <w:t xml:space="preserve">In this </w:t>
      </w:r>
      <w:r w:rsidR="00C82E5D" w:rsidRPr="00160610">
        <w:rPr>
          <w:sz w:val="24"/>
          <w:szCs w:val="24"/>
          <w:lang w:val="en-US"/>
        </w:rPr>
        <w:t>editorial</w:t>
      </w:r>
      <w:r w:rsidR="003D2A50" w:rsidRPr="00160610">
        <w:rPr>
          <w:sz w:val="24"/>
          <w:szCs w:val="24"/>
          <w:lang w:val="en-US"/>
        </w:rPr>
        <w:t>,</w:t>
      </w:r>
      <w:r w:rsidR="00E01CD1" w:rsidRPr="00160610">
        <w:rPr>
          <w:sz w:val="24"/>
          <w:szCs w:val="24"/>
          <w:lang w:val="en-US"/>
        </w:rPr>
        <w:t xml:space="preserve"> we will consider</w:t>
      </w:r>
      <w:r w:rsidR="00A93599" w:rsidRPr="00160610">
        <w:rPr>
          <w:sz w:val="24"/>
          <w:szCs w:val="24"/>
          <w:lang w:val="en-US"/>
        </w:rPr>
        <w:t xml:space="preserve"> </w:t>
      </w:r>
      <w:r w:rsidR="002C7ED5" w:rsidRPr="00160610">
        <w:rPr>
          <w:sz w:val="24"/>
          <w:szCs w:val="24"/>
          <w:lang w:val="en-US"/>
        </w:rPr>
        <w:t xml:space="preserve">possible scenarios </w:t>
      </w:r>
      <w:r w:rsidR="00A93599" w:rsidRPr="00160610">
        <w:rPr>
          <w:sz w:val="24"/>
          <w:szCs w:val="24"/>
          <w:lang w:val="en-US"/>
        </w:rPr>
        <w:t>of</w:t>
      </w:r>
      <w:r w:rsidR="002C7ED5" w:rsidRPr="00160610">
        <w:rPr>
          <w:sz w:val="24"/>
          <w:szCs w:val="24"/>
          <w:lang w:val="en-US"/>
        </w:rPr>
        <w:t xml:space="preserve"> the </w:t>
      </w:r>
      <w:r w:rsidR="00ED7A5A" w:rsidRPr="00160610">
        <w:rPr>
          <w:sz w:val="24"/>
          <w:szCs w:val="24"/>
          <w:lang w:val="en-US"/>
        </w:rPr>
        <w:t>development antibiotic</w:t>
      </w:r>
      <w:r w:rsidR="00A93599" w:rsidRPr="00160610">
        <w:rPr>
          <w:sz w:val="24"/>
          <w:szCs w:val="24"/>
          <w:lang w:val="en-US"/>
        </w:rPr>
        <w:t xml:space="preserve"> resistance </w:t>
      </w:r>
      <w:r w:rsidR="003D2A50" w:rsidRPr="00160610">
        <w:rPr>
          <w:sz w:val="24"/>
          <w:szCs w:val="24"/>
          <w:lang w:val="en-US"/>
        </w:rPr>
        <w:t xml:space="preserve">after pandemic COVID-19 in patients with </w:t>
      </w:r>
      <w:r w:rsidR="00132BCA" w:rsidRPr="00160610">
        <w:rPr>
          <w:sz w:val="24"/>
          <w:szCs w:val="24"/>
          <w:lang w:val="en-US"/>
        </w:rPr>
        <w:t>urinary tract infection (</w:t>
      </w:r>
      <w:r w:rsidR="003D2A50" w:rsidRPr="00160610">
        <w:rPr>
          <w:sz w:val="24"/>
          <w:szCs w:val="24"/>
          <w:lang w:val="en-US"/>
        </w:rPr>
        <w:t>UTI</w:t>
      </w:r>
      <w:r w:rsidR="00132BCA" w:rsidRPr="00160610">
        <w:rPr>
          <w:sz w:val="24"/>
          <w:szCs w:val="24"/>
          <w:lang w:val="en-US"/>
        </w:rPr>
        <w:t>)</w:t>
      </w:r>
      <w:r w:rsidR="003D2A50" w:rsidRPr="00160610">
        <w:rPr>
          <w:sz w:val="24"/>
          <w:szCs w:val="24"/>
          <w:lang w:val="en-US"/>
        </w:rPr>
        <w:t xml:space="preserve">. </w:t>
      </w:r>
    </w:p>
    <w:p w14:paraId="4C3D4E16" w14:textId="77777777" w:rsidR="00FA310C" w:rsidRPr="00FA310C" w:rsidRDefault="00FA310C" w:rsidP="008619EB">
      <w:pPr>
        <w:jc w:val="both"/>
        <w:rPr>
          <w:sz w:val="24"/>
          <w:szCs w:val="24"/>
          <w:lang w:val="en-US"/>
        </w:rPr>
      </w:pPr>
      <w:r w:rsidRPr="00FA310C">
        <w:rPr>
          <w:b/>
          <w:sz w:val="24"/>
          <w:szCs w:val="24"/>
          <w:lang w:val="en-US"/>
        </w:rPr>
        <w:t>Key words:</w:t>
      </w:r>
      <w:r>
        <w:rPr>
          <w:sz w:val="24"/>
          <w:szCs w:val="24"/>
          <w:lang w:val="en-US"/>
        </w:rPr>
        <w:t xml:space="preserve"> COVID-19; antibiotic resistance; urinary tract infec</w:t>
      </w:r>
      <w:r w:rsidR="00FC04E2">
        <w:rPr>
          <w:sz w:val="24"/>
          <w:szCs w:val="24"/>
          <w:lang w:val="en-US"/>
        </w:rPr>
        <w:t>tion; bacterial superinfection.</w:t>
      </w:r>
    </w:p>
    <w:p w14:paraId="66E97BAE" w14:textId="77777777" w:rsidR="00870D25" w:rsidRDefault="00870D25" w:rsidP="008619EB">
      <w:pPr>
        <w:jc w:val="both"/>
        <w:rPr>
          <w:b/>
          <w:sz w:val="24"/>
          <w:szCs w:val="24"/>
          <w:lang w:val="en-US"/>
        </w:rPr>
      </w:pPr>
    </w:p>
    <w:p w14:paraId="263AAC50" w14:textId="77777777" w:rsidR="00870D25" w:rsidRDefault="00870D25" w:rsidP="008619EB">
      <w:pPr>
        <w:jc w:val="both"/>
        <w:rPr>
          <w:b/>
          <w:sz w:val="24"/>
          <w:szCs w:val="24"/>
          <w:lang w:val="en-US"/>
        </w:rPr>
      </w:pPr>
    </w:p>
    <w:p w14:paraId="33F13455" w14:textId="77777777" w:rsidR="00870D25" w:rsidRDefault="00870D25" w:rsidP="008619EB">
      <w:pPr>
        <w:jc w:val="both"/>
        <w:rPr>
          <w:b/>
          <w:sz w:val="24"/>
          <w:szCs w:val="24"/>
          <w:lang w:val="en-US"/>
        </w:rPr>
      </w:pPr>
    </w:p>
    <w:p w14:paraId="47716E5B" w14:textId="77777777" w:rsidR="00870D25" w:rsidRDefault="00870D25" w:rsidP="008619EB">
      <w:pPr>
        <w:jc w:val="both"/>
        <w:rPr>
          <w:b/>
          <w:sz w:val="24"/>
          <w:szCs w:val="24"/>
          <w:lang w:val="en-US"/>
        </w:rPr>
      </w:pPr>
    </w:p>
    <w:p w14:paraId="65A36BDA" w14:textId="77777777" w:rsidR="00870D25" w:rsidRDefault="00870D25" w:rsidP="008619EB">
      <w:pPr>
        <w:jc w:val="both"/>
        <w:rPr>
          <w:b/>
          <w:sz w:val="24"/>
          <w:szCs w:val="24"/>
          <w:lang w:val="en-US"/>
        </w:rPr>
      </w:pPr>
    </w:p>
    <w:p w14:paraId="496D7F62" w14:textId="77777777" w:rsidR="00870D25" w:rsidRDefault="00870D25" w:rsidP="008619EB">
      <w:pPr>
        <w:jc w:val="both"/>
        <w:rPr>
          <w:b/>
          <w:sz w:val="24"/>
          <w:szCs w:val="24"/>
          <w:lang w:val="en-US"/>
        </w:rPr>
      </w:pPr>
    </w:p>
    <w:p w14:paraId="08BCAFBE" w14:textId="77777777" w:rsidR="00870D25" w:rsidRDefault="00870D25" w:rsidP="008619EB">
      <w:pPr>
        <w:jc w:val="both"/>
        <w:rPr>
          <w:b/>
          <w:sz w:val="24"/>
          <w:szCs w:val="24"/>
          <w:lang w:val="en-US"/>
        </w:rPr>
      </w:pPr>
    </w:p>
    <w:p w14:paraId="49AEB708" w14:textId="77777777" w:rsidR="00870D25" w:rsidRDefault="00870D25" w:rsidP="008619EB">
      <w:pPr>
        <w:jc w:val="both"/>
        <w:rPr>
          <w:b/>
          <w:sz w:val="24"/>
          <w:szCs w:val="24"/>
          <w:lang w:val="en-US"/>
        </w:rPr>
      </w:pPr>
    </w:p>
    <w:p w14:paraId="4EB091C9" w14:textId="77777777" w:rsidR="00870D25" w:rsidRDefault="00870D25" w:rsidP="008619EB">
      <w:pPr>
        <w:jc w:val="both"/>
        <w:rPr>
          <w:b/>
          <w:sz w:val="24"/>
          <w:szCs w:val="24"/>
          <w:lang w:val="en-US"/>
        </w:rPr>
      </w:pPr>
    </w:p>
    <w:p w14:paraId="66D5AABA" w14:textId="77777777" w:rsidR="00870D25" w:rsidRDefault="00870D25" w:rsidP="008619EB">
      <w:pPr>
        <w:jc w:val="both"/>
        <w:rPr>
          <w:b/>
          <w:sz w:val="24"/>
          <w:szCs w:val="24"/>
          <w:lang w:val="en-US"/>
        </w:rPr>
      </w:pPr>
    </w:p>
    <w:p w14:paraId="2E039230" w14:textId="77777777" w:rsidR="00870D25" w:rsidRDefault="00870D25" w:rsidP="008619EB">
      <w:pPr>
        <w:jc w:val="both"/>
        <w:rPr>
          <w:b/>
          <w:sz w:val="24"/>
          <w:szCs w:val="24"/>
          <w:lang w:val="en-US"/>
        </w:rPr>
      </w:pPr>
    </w:p>
    <w:p w14:paraId="70730E98" w14:textId="1573BB6B" w:rsidR="0040740C" w:rsidRPr="008879AF" w:rsidRDefault="0040740C" w:rsidP="008619EB">
      <w:pPr>
        <w:jc w:val="both"/>
        <w:rPr>
          <w:b/>
          <w:sz w:val="24"/>
          <w:szCs w:val="24"/>
          <w:lang w:val="en-US"/>
        </w:rPr>
      </w:pPr>
      <w:r w:rsidRPr="008879AF">
        <w:rPr>
          <w:b/>
          <w:sz w:val="24"/>
          <w:szCs w:val="24"/>
          <w:lang w:val="en-US"/>
        </w:rPr>
        <w:lastRenderedPageBreak/>
        <w:t>Introduction</w:t>
      </w:r>
    </w:p>
    <w:p w14:paraId="0903C4C7" w14:textId="35ABA229" w:rsidR="005250EC" w:rsidRPr="00160610" w:rsidRDefault="00E73923" w:rsidP="004D3204">
      <w:pPr>
        <w:spacing w:line="480" w:lineRule="auto"/>
        <w:jc w:val="both"/>
        <w:rPr>
          <w:bCs/>
          <w:sz w:val="24"/>
          <w:szCs w:val="24"/>
          <w:lang w:val="en-US"/>
        </w:rPr>
      </w:pPr>
      <w:r w:rsidRPr="00160610">
        <w:rPr>
          <w:sz w:val="24"/>
          <w:szCs w:val="24"/>
          <w:lang w:val="en-US"/>
        </w:rPr>
        <w:t>T</w:t>
      </w:r>
      <w:r w:rsidR="0051615E" w:rsidRPr="00160610">
        <w:rPr>
          <w:sz w:val="24"/>
          <w:szCs w:val="24"/>
          <w:lang w:val="en-US"/>
        </w:rPr>
        <w:t>he World Health Organization (WHO)</w:t>
      </w:r>
      <w:r w:rsidR="005250EC" w:rsidRPr="00160610">
        <w:rPr>
          <w:sz w:val="24"/>
          <w:szCs w:val="24"/>
          <w:lang w:val="en-US"/>
        </w:rPr>
        <w:t xml:space="preserve"> acknowledged that the </w:t>
      </w:r>
      <w:r w:rsidR="0051615E" w:rsidRPr="00160610">
        <w:rPr>
          <w:sz w:val="24"/>
          <w:szCs w:val="24"/>
          <w:lang w:val="en-US"/>
        </w:rPr>
        <w:t>Severe Acute Respiratory Syndrome Coronavirus-2 (SARS-CoV-2)</w:t>
      </w:r>
      <w:r w:rsidRPr="00160610">
        <w:rPr>
          <w:sz w:val="24"/>
          <w:szCs w:val="24"/>
          <w:lang w:val="en-US"/>
        </w:rPr>
        <w:t>, the causative pathogen</w:t>
      </w:r>
      <w:r w:rsidR="009A439D" w:rsidRPr="00160610">
        <w:rPr>
          <w:sz w:val="24"/>
          <w:szCs w:val="24"/>
          <w:lang w:val="en-US"/>
        </w:rPr>
        <w:t xml:space="preserve"> for COVID-19</w:t>
      </w:r>
      <w:r w:rsidR="004D3204" w:rsidRPr="00160610">
        <w:rPr>
          <w:bCs/>
          <w:sz w:val="24"/>
          <w:szCs w:val="24"/>
          <w:lang w:val="en-US"/>
        </w:rPr>
        <w:t>,</w:t>
      </w:r>
      <w:r w:rsidR="0051615E" w:rsidRPr="00160610">
        <w:rPr>
          <w:sz w:val="24"/>
          <w:szCs w:val="24"/>
          <w:lang w:val="en-US"/>
        </w:rPr>
        <w:t xml:space="preserve"> </w:t>
      </w:r>
      <w:r w:rsidR="005250EC" w:rsidRPr="00160610">
        <w:rPr>
          <w:sz w:val="24"/>
          <w:szCs w:val="24"/>
          <w:lang w:val="en-US"/>
        </w:rPr>
        <w:t xml:space="preserve">has the </w:t>
      </w:r>
      <w:r w:rsidR="005250EC" w:rsidRPr="00160610">
        <w:rPr>
          <w:bCs/>
          <w:sz w:val="24"/>
          <w:szCs w:val="24"/>
          <w:lang w:val="en-US"/>
        </w:rPr>
        <w:t xml:space="preserve">potential </w:t>
      </w:r>
      <w:r w:rsidR="004D3204" w:rsidRPr="00160610">
        <w:rPr>
          <w:bCs/>
          <w:sz w:val="24"/>
          <w:szCs w:val="24"/>
          <w:lang w:val="en-US"/>
        </w:rPr>
        <w:t xml:space="preserve">risk </w:t>
      </w:r>
      <w:r w:rsidR="005250EC" w:rsidRPr="00160610">
        <w:rPr>
          <w:bCs/>
          <w:sz w:val="24"/>
          <w:szCs w:val="24"/>
          <w:lang w:val="en-US"/>
        </w:rPr>
        <w:t xml:space="preserve">to spread </w:t>
      </w:r>
      <w:r w:rsidR="004D3204" w:rsidRPr="00160610">
        <w:rPr>
          <w:bCs/>
          <w:sz w:val="24"/>
          <w:szCs w:val="24"/>
          <w:lang w:val="en-US"/>
        </w:rPr>
        <w:t>worldwide</w:t>
      </w:r>
      <w:r w:rsidR="004D3204" w:rsidRPr="00160610">
        <w:rPr>
          <w:sz w:val="24"/>
          <w:szCs w:val="24"/>
          <w:lang w:val="en-US"/>
        </w:rPr>
        <w:t xml:space="preserve"> </w:t>
      </w:r>
      <w:r w:rsidR="005250EC" w:rsidRPr="00160610">
        <w:rPr>
          <w:sz w:val="24"/>
          <w:szCs w:val="24"/>
          <w:lang w:val="en-US"/>
        </w:rPr>
        <w:t>and</w:t>
      </w:r>
      <w:r w:rsidR="00D8200B" w:rsidRPr="00160610">
        <w:rPr>
          <w:sz w:val="24"/>
          <w:szCs w:val="24"/>
          <w:lang w:val="en-US"/>
        </w:rPr>
        <w:t xml:space="preserve"> by 11 March 2020, </w:t>
      </w:r>
      <w:r w:rsidR="004D3204" w:rsidRPr="00160610">
        <w:rPr>
          <w:bCs/>
          <w:sz w:val="24"/>
          <w:szCs w:val="24"/>
          <w:lang w:val="en-US"/>
        </w:rPr>
        <w:t>the WHO designated the disease caused by this virus, coronavirus disease 2019 (COVID-19), to be a pandemic.</w:t>
      </w:r>
      <w:r w:rsidR="004D3204" w:rsidRPr="00160610">
        <w:rPr>
          <w:sz w:val="24"/>
          <w:szCs w:val="24"/>
          <w:lang w:val="en-US"/>
        </w:rPr>
        <w:t xml:space="preserve"> </w:t>
      </w:r>
      <w:r w:rsidR="00D8200B" w:rsidRPr="00160610">
        <w:rPr>
          <w:sz w:val="24"/>
          <w:szCs w:val="24"/>
          <w:lang w:val="en-US"/>
        </w:rPr>
        <w:t>[</w:t>
      </w:r>
      <w:r w:rsidR="00283F7A" w:rsidRPr="00160610">
        <w:rPr>
          <w:sz w:val="24"/>
          <w:szCs w:val="24"/>
          <w:lang w:val="en-US"/>
        </w:rPr>
        <w:t>1,</w:t>
      </w:r>
      <w:r w:rsidR="009775E6" w:rsidRPr="00160610">
        <w:rPr>
          <w:sz w:val="24"/>
          <w:szCs w:val="24"/>
          <w:lang w:val="en-US"/>
        </w:rPr>
        <w:t>2</w:t>
      </w:r>
      <w:r w:rsidR="00D8200B" w:rsidRPr="00160610">
        <w:rPr>
          <w:sz w:val="24"/>
          <w:szCs w:val="24"/>
          <w:lang w:val="en-US"/>
        </w:rPr>
        <w:t>]</w:t>
      </w:r>
      <w:r w:rsidR="00CB49CB" w:rsidRPr="00160610">
        <w:rPr>
          <w:sz w:val="24"/>
          <w:szCs w:val="24"/>
          <w:lang w:val="en-US"/>
        </w:rPr>
        <w:t>.</w:t>
      </w:r>
      <w:r w:rsidR="004D3204" w:rsidRPr="00160610">
        <w:rPr>
          <w:sz w:val="24"/>
          <w:szCs w:val="24"/>
          <w:lang w:val="en-US"/>
        </w:rPr>
        <w:t xml:space="preserve"> </w:t>
      </w:r>
      <w:r w:rsidR="00CB49CB" w:rsidRPr="00160610">
        <w:rPr>
          <w:sz w:val="24"/>
          <w:szCs w:val="24"/>
          <w:lang w:val="en-US"/>
        </w:rPr>
        <w:t>Pathogenes</w:t>
      </w:r>
      <w:r w:rsidR="00C25B25">
        <w:rPr>
          <w:sz w:val="24"/>
          <w:szCs w:val="24"/>
          <w:lang w:val="en-US"/>
        </w:rPr>
        <w:t>is of SARS-CoV-2 is related to</w:t>
      </w:r>
      <w:r w:rsidR="00CB49CB" w:rsidRPr="00160610">
        <w:rPr>
          <w:sz w:val="24"/>
          <w:szCs w:val="24"/>
          <w:lang w:val="en-US"/>
        </w:rPr>
        <w:t xml:space="preserve"> recognition</w:t>
      </w:r>
      <w:r w:rsidR="001465CC" w:rsidRPr="00160610">
        <w:rPr>
          <w:sz w:val="24"/>
          <w:szCs w:val="24"/>
          <w:lang w:val="en-US"/>
        </w:rPr>
        <w:t xml:space="preserve"> </w:t>
      </w:r>
      <w:r w:rsidR="001465CC" w:rsidRPr="00160610">
        <w:rPr>
          <w:bCs/>
          <w:sz w:val="24"/>
          <w:szCs w:val="24"/>
          <w:lang w:val="en-US"/>
        </w:rPr>
        <w:t>of</w:t>
      </w:r>
      <w:r w:rsidR="00CB49CB" w:rsidRPr="00160610">
        <w:rPr>
          <w:bCs/>
          <w:sz w:val="24"/>
          <w:szCs w:val="24"/>
          <w:lang w:val="en-US"/>
        </w:rPr>
        <w:t xml:space="preserve"> </w:t>
      </w:r>
      <w:r w:rsidR="00CB49CB" w:rsidRPr="00160610">
        <w:rPr>
          <w:sz w:val="24"/>
          <w:szCs w:val="24"/>
          <w:lang w:val="en-US"/>
        </w:rPr>
        <w:t xml:space="preserve">the receptor on </w:t>
      </w:r>
      <w:r w:rsidR="00C25B25">
        <w:rPr>
          <w:sz w:val="24"/>
          <w:szCs w:val="24"/>
          <w:lang w:val="en-US"/>
        </w:rPr>
        <w:t xml:space="preserve">the </w:t>
      </w:r>
      <w:r w:rsidR="00CB49CB" w:rsidRPr="00160610">
        <w:rPr>
          <w:sz w:val="24"/>
          <w:szCs w:val="24"/>
          <w:lang w:val="en-US"/>
        </w:rPr>
        <w:t xml:space="preserve">host cell membrane, through the </w:t>
      </w:r>
      <w:proofErr w:type="spellStart"/>
      <w:r w:rsidR="00AC21F2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CoV</w:t>
      </w:r>
      <w:proofErr w:type="spellEnd"/>
      <w:r w:rsidR="00AC21F2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spike (S) glycoprotein</w:t>
      </w:r>
      <w:r w:rsidR="00A628DD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on its surface. Subsequently, </w:t>
      </w:r>
      <w:r w:rsidR="0022796C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this leads to various clinical manifestations, </w:t>
      </w:r>
      <w:r w:rsidR="00631789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including fever, dry cough, abatement and losing of olfactory and taste senses,</w:t>
      </w:r>
      <w:r w:rsidR="00E63A81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pneumonia</w:t>
      </w:r>
      <w:r w:rsidR="00CD507F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,</w:t>
      </w:r>
      <w:r w:rsidR="00E63A81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respiratory failure,</w:t>
      </w:r>
      <w:r w:rsidR="00CD507F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D507F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lymphopenia</w:t>
      </w:r>
      <w:proofErr w:type="spellEnd"/>
      <w:r w:rsidR="00CD507F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, thrombotic complications</w:t>
      </w:r>
      <w:r w:rsidR="00745809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AC21F2" w:rsidRPr="00160610">
        <w:rPr>
          <w:rFonts w:cs="Calibri"/>
          <w:sz w:val="24"/>
          <w:szCs w:val="24"/>
          <w:lang w:val="en-US"/>
        </w:rPr>
        <w:t>[3</w:t>
      </w:r>
      <w:r w:rsidR="00631789" w:rsidRPr="00160610">
        <w:rPr>
          <w:rFonts w:cs="Calibri"/>
          <w:sz w:val="24"/>
          <w:szCs w:val="24"/>
          <w:lang w:val="en-US"/>
        </w:rPr>
        <w:t>-5</w:t>
      </w:r>
      <w:r w:rsidR="00AC21F2" w:rsidRPr="00160610">
        <w:rPr>
          <w:rFonts w:cs="Calibri"/>
          <w:sz w:val="24"/>
          <w:szCs w:val="24"/>
          <w:lang w:val="en-US"/>
        </w:rPr>
        <w:t>].</w:t>
      </w:r>
      <w:r w:rsidR="00CB49CB" w:rsidRPr="00160610">
        <w:rPr>
          <w:rFonts w:cs="Calibri"/>
          <w:sz w:val="24"/>
          <w:szCs w:val="24"/>
          <w:lang w:val="en-US"/>
        </w:rPr>
        <w:t xml:space="preserve"> </w:t>
      </w:r>
      <w:r w:rsidR="003525DE" w:rsidRPr="00160610">
        <w:rPr>
          <w:rFonts w:cs="Calibri"/>
          <w:sz w:val="24"/>
          <w:szCs w:val="24"/>
          <w:lang w:val="en-US"/>
        </w:rPr>
        <w:t xml:space="preserve">In hospital and intensive care units (ICU) settings, </w:t>
      </w:r>
      <w:r w:rsidR="007B3254" w:rsidRPr="00160610">
        <w:rPr>
          <w:rFonts w:cs="Calibri"/>
          <w:sz w:val="24"/>
          <w:szCs w:val="24"/>
          <w:lang w:val="en-US"/>
        </w:rPr>
        <w:t xml:space="preserve">majority patients with COVID-19 </w:t>
      </w:r>
      <w:r w:rsidR="003433E9" w:rsidRPr="00160610">
        <w:rPr>
          <w:rFonts w:cs="Calibri"/>
          <w:bCs/>
          <w:sz w:val="24"/>
          <w:szCs w:val="24"/>
          <w:lang w:val="en-US"/>
        </w:rPr>
        <w:t>routinely</w:t>
      </w:r>
      <w:r w:rsidR="003433E9" w:rsidRPr="00160610">
        <w:rPr>
          <w:rFonts w:cs="Calibri"/>
          <w:sz w:val="24"/>
          <w:szCs w:val="24"/>
          <w:lang w:val="en-US"/>
        </w:rPr>
        <w:t xml:space="preserve"> </w:t>
      </w:r>
      <w:r w:rsidR="007B3254" w:rsidRPr="00160610">
        <w:rPr>
          <w:rFonts w:cs="Calibri"/>
          <w:sz w:val="24"/>
          <w:szCs w:val="24"/>
          <w:lang w:val="en-US"/>
        </w:rPr>
        <w:t>receive antibiotics for treatment</w:t>
      </w:r>
      <w:r w:rsidR="003433E9" w:rsidRPr="00160610">
        <w:rPr>
          <w:rFonts w:cs="Calibri"/>
          <w:sz w:val="24"/>
          <w:szCs w:val="24"/>
          <w:lang w:val="en-US"/>
        </w:rPr>
        <w:t xml:space="preserve"> </w:t>
      </w:r>
      <w:r w:rsidR="003433E9" w:rsidRPr="00160610">
        <w:rPr>
          <w:rFonts w:cs="Calibri"/>
          <w:bCs/>
          <w:sz w:val="24"/>
          <w:szCs w:val="24"/>
          <w:lang w:val="en-US"/>
        </w:rPr>
        <w:t>of</w:t>
      </w:r>
      <w:r w:rsidR="007B3254" w:rsidRPr="00160610">
        <w:rPr>
          <w:rFonts w:cs="Calibri"/>
          <w:bCs/>
          <w:sz w:val="24"/>
          <w:szCs w:val="24"/>
          <w:lang w:val="en-US"/>
        </w:rPr>
        <w:t xml:space="preserve"> </w:t>
      </w:r>
      <w:r w:rsidR="007B3254" w:rsidRPr="00160610">
        <w:rPr>
          <w:rFonts w:cs="Calibri"/>
          <w:sz w:val="24"/>
          <w:szCs w:val="24"/>
          <w:lang w:val="en-US"/>
        </w:rPr>
        <w:t>secondary</w:t>
      </w:r>
      <w:r w:rsidR="00AB6B54" w:rsidRPr="00160610">
        <w:rPr>
          <w:rFonts w:cs="Calibri"/>
          <w:sz w:val="24"/>
          <w:szCs w:val="24"/>
          <w:lang w:val="en-US"/>
        </w:rPr>
        <w:t xml:space="preserve"> bacterial</w:t>
      </w:r>
      <w:r w:rsidR="007B3254" w:rsidRPr="00160610">
        <w:rPr>
          <w:rFonts w:cs="Calibri"/>
          <w:sz w:val="24"/>
          <w:szCs w:val="24"/>
          <w:lang w:val="en-US"/>
        </w:rPr>
        <w:t xml:space="preserve"> infection complications</w:t>
      </w:r>
      <w:r w:rsidR="001465CC" w:rsidRPr="00160610">
        <w:rPr>
          <w:rFonts w:cs="Calibri"/>
          <w:sz w:val="24"/>
          <w:szCs w:val="24"/>
          <w:lang w:val="en-US"/>
        </w:rPr>
        <w:t xml:space="preserve">, </w:t>
      </w:r>
      <w:r w:rsidR="001465CC" w:rsidRPr="00160610">
        <w:rPr>
          <w:rFonts w:cs="Calibri"/>
          <w:bCs/>
          <w:sz w:val="24"/>
          <w:szCs w:val="24"/>
          <w:lang w:val="en-US"/>
        </w:rPr>
        <w:t xml:space="preserve">including </w:t>
      </w:r>
      <w:proofErr w:type="spellStart"/>
      <w:r w:rsidR="00AB6B54" w:rsidRPr="00160610">
        <w:rPr>
          <w:rFonts w:cs="Calibri"/>
          <w:sz w:val="24"/>
          <w:szCs w:val="24"/>
          <w:lang w:val="en-US"/>
        </w:rPr>
        <w:t>teicoplanin</w:t>
      </w:r>
      <w:proofErr w:type="spellEnd"/>
      <w:r w:rsidR="00AB6B54" w:rsidRPr="00160610">
        <w:rPr>
          <w:rFonts w:cs="Calibri"/>
          <w:sz w:val="24"/>
          <w:szCs w:val="24"/>
          <w:lang w:val="en-US"/>
        </w:rPr>
        <w:t xml:space="preserve">, clarithromycin, doxycycline, </w:t>
      </w:r>
      <w:proofErr w:type="spellStart"/>
      <w:r w:rsidR="00AB6B54" w:rsidRPr="00160610">
        <w:rPr>
          <w:rFonts w:cs="Calibri"/>
          <w:sz w:val="24"/>
          <w:szCs w:val="24"/>
          <w:lang w:val="en-US"/>
        </w:rPr>
        <w:t>tetracyclines</w:t>
      </w:r>
      <w:proofErr w:type="spellEnd"/>
      <w:r w:rsidR="00AB6B54" w:rsidRPr="00160610">
        <w:rPr>
          <w:rFonts w:cs="Calibri"/>
          <w:sz w:val="24"/>
          <w:szCs w:val="24"/>
          <w:lang w:val="en-US"/>
        </w:rPr>
        <w:t>, levofloxacin,</w:t>
      </w:r>
      <w:r w:rsidR="00D36C26" w:rsidRPr="00160610">
        <w:rPr>
          <w:lang w:val="en-US"/>
        </w:rPr>
        <w:t xml:space="preserve"> </w:t>
      </w:r>
      <w:r w:rsidR="00D36C26" w:rsidRPr="00160610">
        <w:rPr>
          <w:rFonts w:cs="Calibri"/>
          <w:sz w:val="24"/>
          <w:szCs w:val="24"/>
          <w:lang w:val="en-US"/>
        </w:rPr>
        <w:t>azithromycin,</w:t>
      </w:r>
      <w:r w:rsidR="00AB6B54" w:rsidRPr="00160610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AB6B54" w:rsidRPr="00160610">
        <w:rPr>
          <w:rFonts w:cs="Calibri"/>
          <w:sz w:val="24"/>
          <w:szCs w:val="24"/>
          <w:lang w:val="en-US"/>
        </w:rPr>
        <w:t>moxifloxacin</w:t>
      </w:r>
      <w:proofErr w:type="spellEnd"/>
      <w:r w:rsidR="00AB6B54" w:rsidRPr="00160610">
        <w:rPr>
          <w:rFonts w:cs="Calibri"/>
          <w:sz w:val="24"/>
          <w:szCs w:val="24"/>
          <w:lang w:val="en-US"/>
        </w:rPr>
        <w:t>, ciprofloxacin, and</w:t>
      </w:r>
      <w:r w:rsidR="00D36C26" w:rsidRPr="00160610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D36C26" w:rsidRPr="00160610">
        <w:rPr>
          <w:rFonts w:cs="Calibri"/>
          <w:sz w:val="24"/>
          <w:szCs w:val="24"/>
          <w:lang w:val="en-US"/>
        </w:rPr>
        <w:t>cephalosporins</w:t>
      </w:r>
      <w:proofErr w:type="spellEnd"/>
      <w:r w:rsidR="00D36C26" w:rsidRPr="00160610">
        <w:rPr>
          <w:rFonts w:cs="Calibri"/>
          <w:sz w:val="24"/>
          <w:szCs w:val="24"/>
          <w:lang w:val="en-US"/>
        </w:rPr>
        <w:t xml:space="preserve"> 3d </w:t>
      </w:r>
      <w:r w:rsidR="000870CD" w:rsidRPr="00160610">
        <w:rPr>
          <w:rFonts w:cs="Calibri"/>
          <w:sz w:val="24"/>
          <w:szCs w:val="24"/>
          <w:lang w:val="en-US"/>
        </w:rPr>
        <w:t xml:space="preserve">generation. </w:t>
      </w:r>
      <w:r w:rsidR="0015765D" w:rsidRPr="00160610">
        <w:rPr>
          <w:rFonts w:cs="Calibri"/>
          <w:sz w:val="24"/>
          <w:szCs w:val="24"/>
          <w:lang w:val="en-US"/>
        </w:rPr>
        <w:t xml:space="preserve">In one meta-analysis, </w:t>
      </w:r>
      <w:r w:rsidR="0015765D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Langford</w:t>
      </w:r>
      <w:r w:rsidR="0015765D" w:rsidRPr="00160610">
        <w:rPr>
          <w:rFonts w:cs="Calibri"/>
          <w:sz w:val="24"/>
          <w:szCs w:val="24"/>
          <w:lang w:val="en-US"/>
        </w:rPr>
        <w:t xml:space="preserve"> et al. demonstrated that </w:t>
      </w:r>
      <w:r w:rsidR="009C3961" w:rsidRPr="00160610">
        <w:rPr>
          <w:rFonts w:cs="Calibri"/>
          <w:sz w:val="24"/>
          <w:szCs w:val="24"/>
          <w:lang w:val="en-US"/>
        </w:rPr>
        <w:t xml:space="preserve">fluoroquinolones and third-generation </w:t>
      </w:r>
      <w:proofErr w:type="spellStart"/>
      <w:r w:rsidR="009C3961" w:rsidRPr="00160610">
        <w:rPr>
          <w:rFonts w:cs="Calibri"/>
          <w:sz w:val="24"/>
          <w:szCs w:val="24"/>
          <w:lang w:val="en-US"/>
        </w:rPr>
        <w:t>cephalosporins</w:t>
      </w:r>
      <w:proofErr w:type="spellEnd"/>
      <w:r w:rsidR="009C3961" w:rsidRPr="00160610">
        <w:rPr>
          <w:rFonts w:cs="Calibri"/>
          <w:sz w:val="24"/>
          <w:szCs w:val="24"/>
          <w:lang w:val="en-US"/>
        </w:rPr>
        <w:t xml:space="preserve"> comprised about 74% of the all antibiotics prescribed in patients </w:t>
      </w:r>
      <w:r w:rsidR="001465CC" w:rsidRPr="00160610">
        <w:rPr>
          <w:rFonts w:cs="Calibri"/>
          <w:bCs/>
          <w:sz w:val="24"/>
          <w:szCs w:val="24"/>
          <w:lang w:val="en-US"/>
        </w:rPr>
        <w:t>affected by</w:t>
      </w:r>
      <w:r w:rsidR="001465CC" w:rsidRPr="00160610">
        <w:rPr>
          <w:rFonts w:cs="Calibri"/>
          <w:sz w:val="24"/>
          <w:szCs w:val="24"/>
          <w:lang w:val="en-US"/>
        </w:rPr>
        <w:t xml:space="preserve"> C</w:t>
      </w:r>
      <w:r w:rsidR="009C3961" w:rsidRPr="00160610">
        <w:rPr>
          <w:rFonts w:cs="Calibri"/>
          <w:sz w:val="24"/>
          <w:szCs w:val="24"/>
          <w:lang w:val="en-US"/>
        </w:rPr>
        <w:t>OVID-19</w:t>
      </w:r>
      <w:r w:rsidR="009C3961" w:rsidRPr="00160610">
        <w:rPr>
          <w:sz w:val="24"/>
          <w:szCs w:val="24"/>
          <w:lang w:val="en-US"/>
        </w:rPr>
        <w:t xml:space="preserve"> </w:t>
      </w:r>
      <w:r w:rsidR="00AB6B54" w:rsidRPr="00160610">
        <w:rPr>
          <w:sz w:val="24"/>
          <w:szCs w:val="24"/>
          <w:lang w:val="en-US"/>
        </w:rPr>
        <w:t>[6</w:t>
      </w:r>
      <w:proofErr w:type="gramStart"/>
      <w:r w:rsidR="00B61417" w:rsidRPr="00160610">
        <w:rPr>
          <w:sz w:val="24"/>
          <w:szCs w:val="24"/>
          <w:lang w:val="en-US"/>
        </w:rPr>
        <w:t>,7</w:t>
      </w:r>
      <w:proofErr w:type="gramEnd"/>
      <w:r w:rsidR="00AB6B54" w:rsidRPr="00160610">
        <w:rPr>
          <w:sz w:val="24"/>
          <w:szCs w:val="24"/>
          <w:lang w:val="en-US"/>
        </w:rPr>
        <w:t xml:space="preserve">]. </w:t>
      </w:r>
      <w:r w:rsidR="00D801D0" w:rsidRPr="00160610">
        <w:rPr>
          <w:sz w:val="24"/>
          <w:szCs w:val="24"/>
          <w:lang w:val="en-US"/>
        </w:rPr>
        <w:t xml:space="preserve">In one study, </w:t>
      </w:r>
      <w:proofErr w:type="spellStart"/>
      <w:r w:rsidR="001E61AF" w:rsidRPr="00160610">
        <w:rPr>
          <w:sz w:val="24"/>
          <w:szCs w:val="24"/>
          <w:lang w:val="en-US"/>
        </w:rPr>
        <w:t>Bardi</w:t>
      </w:r>
      <w:proofErr w:type="spellEnd"/>
      <w:r w:rsidR="001E61AF" w:rsidRPr="00160610">
        <w:rPr>
          <w:sz w:val="24"/>
          <w:szCs w:val="24"/>
          <w:lang w:val="en-US"/>
        </w:rPr>
        <w:t xml:space="preserve"> et al. reported that prevalence of UTI in patients with</w:t>
      </w:r>
      <w:r w:rsidR="00E23880" w:rsidRPr="00160610">
        <w:rPr>
          <w:sz w:val="24"/>
          <w:szCs w:val="24"/>
          <w:lang w:val="en-US"/>
        </w:rPr>
        <w:t xml:space="preserve"> COVID-19 hospitalized in</w:t>
      </w:r>
      <w:r w:rsidR="003503DC">
        <w:rPr>
          <w:sz w:val="24"/>
          <w:szCs w:val="24"/>
          <w:lang w:val="en-US"/>
        </w:rPr>
        <w:t xml:space="preserve"> the</w:t>
      </w:r>
      <w:r w:rsidR="00E23880" w:rsidRPr="00160610">
        <w:rPr>
          <w:sz w:val="24"/>
          <w:szCs w:val="24"/>
          <w:lang w:val="en-US"/>
        </w:rPr>
        <w:t xml:space="preserve"> ICU was </w:t>
      </w:r>
      <w:r w:rsidR="002C7ED5" w:rsidRPr="00160610">
        <w:rPr>
          <w:sz w:val="24"/>
          <w:szCs w:val="24"/>
          <w:lang w:val="en-US"/>
        </w:rPr>
        <w:t xml:space="preserve">only </w:t>
      </w:r>
      <w:r w:rsidR="00E23880" w:rsidRPr="00160610">
        <w:rPr>
          <w:sz w:val="24"/>
          <w:szCs w:val="24"/>
          <w:lang w:val="en-US"/>
        </w:rPr>
        <w:t xml:space="preserve">8% and </w:t>
      </w:r>
      <w:proofErr w:type="spellStart"/>
      <w:r w:rsidR="00E23880" w:rsidRPr="00160610">
        <w:rPr>
          <w:sz w:val="24"/>
          <w:szCs w:val="24"/>
          <w:lang w:val="en-US"/>
        </w:rPr>
        <w:t>E.faecium</w:t>
      </w:r>
      <w:proofErr w:type="spellEnd"/>
      <w:r w:rsidR="00E23880" w:rsidRPr="00160610">
        <w:rPr>
          <w:sz w:val="24"/>
          <w:szCs w:val="24"/>
          <w:lang w:val="en-US"/>
        </w:rPr>
        <w:t xml:space="preserve"> and </w:t>
      </w:r>
      <w:proofErr w:type="spellStart"/>
      <w:r w:rsidR="00E23880" w:rsidRPr="00160610">
        <w:rPr>
          <w:sz w:val="24"/>
          <w:szCs w:val="24"/>
          <w:lang w:val="en-US"/>
        </w:rPr>
        <w:t>E.faecal</w:t>
      </w:r>
      <w:r w:rsidR="002C7ED5" w:rsidRPr="00160610">
        <w:rPr>
          <w:sz w:val="24"/>
          <w:szCs w:val="24"/>
          <w:lang w:val="en-US"/>
        </w:rPr>
        <w:t>is</w:t>
      </w:r>
      <w:proofErr w:type="spellEnd"/>
      <w:r w:rsidR="002C7ED5" w:rsidRPr="00160610">
        <w:rPr>
          <w:sz w:val="24"/>
          <w:szCs w:val="24"/>
          <w:lang w:val="en-US"/>
        </w:rPr>
        <w:t xml:space="preserve"> were predominant bacterial </w:t>
      </w:r>
      <w:r w:rsidR="00312E23" w:rsidRPr="00160610">
        <w:rPr>
          <w:sz w:val="24"/>
          <w:szCs w:val="24"/>
          <w:lang w:val="en-US"/>
        </w:rPr>
        <w:t>pathogens</w:t>
      </w:r>
      <w:r w:rsidR="006B7D24" w:rsidRPr="00160610">
        <w:rPr>
          <w:sz w:val="24"/>
          <w:szCs w:val="24"/>
          <w:lang w:val="en-US"/>
        </w:rPr>
        <w:t>.</w:t>
      </w:r>
      <w:r w:rsidR="00D801D0" w:rsidRPr="00160610">
        <w:rPr>
          <w:sz w:val="24"/>
          <w:szCs w:val="24"/>
          <w:lang w:val="en-US"/>
        </w:rPr>
        <w:t xml:space="preserve"> </w:t>
      </w:r>
      <w:r w:rsidR="00D801D0" w:rsidRPr="00160610">
        <w:rPr>
          <w:rFonts w:cs="Calibri"/>
          <w:sz w:val="24"/>
          <w:szCs w:val="24"/>
          <w:lang w:val="en-US"/>
        </w:rPr>
        <w:t xml:space="preserve">Meanwhile, in another study, </w:t>
      </w:r>
      <w:proofErr w:type="spellStart"/>
      <w:r w:rsidR="00D801D0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Marand</w:t>
      </w:r>
      <w:proofErr w:type="spellEnd"/>
      <w:r w:rsidR="00D801D0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 et al</w:t>
      </w:r>
      <w:r w:rsidR="00D801D0" w:rsidRPr="00160610">
        <w:rPr>
          <w:rFonts w:ascii="Segoe UI" w:hAnsi="Segoe UI" w:cs="Segoe UI"/>
          <w:color w:val="212121"/>
          <w:shd w:val="clear" w:color="auto" w:fill="FFFFFF"/>
          <w:lang w:val="en-US"/>
        </w:rPr>
        <w:t>.</w:t>
      </w:r>
      <w:r w:rsidR="006B7D24" w:rsidRPr="00160610">
        <w:rPr>
          <w:sz w:val="24"/>
          <w:szCs w:val="24"/>
          <w:lang w:val="en-US"/>
        </w:rPr>
        <w:t xml:space="preserve"> </w:t>
      </w:r>
      <w:r w:rsidR="00D801D0" w:rsidRPr="00160610">
        <w:rPr>
          <w:sz w:val="24"/>
          <w:szCs w:val="24"/>
          <w:lang w:val="en-US"/>
        </w:rPr>
        <w:t xml:space="preserve">demonstrated that about 41% patients with COVID-19 had a positive </w:t>
      </w:r>
      <w:r w:rsidR="002C7ED5" w:rsidRPr="00160610">
        <w:rPr>
          <w:sz w:val="24"/>
          <w:szCs w:val="24"/>
          <w:lang w:val="en-US"/>
        </w:rPr>
        <w:t>bacterial urine culture</w:t>
      </w:r>
      <w:r w:rsidR="00014E53" w:rsidRPr="00160610">
        <w:rPr>
          <w:sz w:val="24"/>
          <w:szCs w:val="24"/>
          <w:lang w:val="en-US"/>
        </w:rPr>
        <w:t xml:space="preserve"> without clinical symptoms of </w:t>
      </w:r>
      <w:r w:rsidR="007C72D5" w:rsidRPr="00160610">
        <w:rPr>
          <w:sz w:val="24"/>
          <w:szCs w:val="24"/>
          <w:lang w:val="en-US"/>
        </w:rPr>
        <w:t>UTI</w:t>
      </w:r>
      <w:r w:rsidR="00E62B9F">
        <w:rPr>
          <w:sz w:val="24"/>
          <w:szCs w:val="24"/>
          <w:lang w:val="en-US"/>
        </w:rPr>
        <w:t>,</w:t>
      </w:r>
      <w:r w:rsidR="007C72D5" w:rsidRPr="00160610">
        <w:rPr>
          <w:sz w:val="24"/>
          <w:szCs w:val="24"/>
          <w:lang w:val="en-US"/>
        </w:rPr>
        <w:t xml:space="preserve"> where</w:t>
      </w:r>
      <w:r w:rsidR="002C7ED5" w:rsidRPr="00160610">
        <w:rPr>
          <w:rFonts w:cs="Calibri"/>
          <w:sz w:val="24"/>
          <w:szCs w:val="24"/>
          <w:lang w:val="en-US"/>
        </w:rPr>
        <w:t xml:space="preserve"> </w:t>
      </w:r>
      <w:r w:rsidR="002C7ED5" w:rsidRPr="00160610">
        <w:rPr>
          <w:rStyle w:val="a5"/>
          <w:rFonts w:cs="Calibri"/>
          <w:color w:val="212121"/>
          <w:sz w:val="24"/>
          <w:szCs w:val="24"/>
          <w:shd w:val="clear" w:color="auto" w:fill="FFFFFF"/>
          <w:lang w:val="en-US"/>
        </w:rPr>
        <w:t>E. coli</w:t>
      </w:r>
      <w:r w:rsidR="002C7ED5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, </w:t>
      </w:r>
      <w:proofErr w:type="spellStart"/>
      <w:r w:rsidR="002C7ED5" w:rsidRPr="00160610">
        <w:rPr>
          <w:rStyle w:val="a5"/>
          <w:rFonts w:cs="Calibri"/>
          <w:color w:val="212121"/>
          <w:sz w:val="24"/>
          <w:szCs w:val="24"/>
          <w:shd w:val="clear" w:color="auto" w:fill="FFFFFF"/>
          <w:lang w:val="en-US"/>
        </w:rPr>
        <w:t>Klebsiella</w:t>
      </w:r>
      <w:proofErr w:type="spellEnd"/>
      <w:r w:rsidR="002C7ED5" w:rsidRPr="00160610">
        <w:rPr>
          <w:rStyle w:val="a5"/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C7ED5" w:rsidRPr="00160610">
        <w:rPr>
          <w:rStyle w:val="a5"/>
          <w:rFonts w:cs="Calibri"/>
          <w:color w:val="212121"/>
          <w:sz w:val="24"/>
          <w:szCs w:val="24"/>
          <w:shd w:val="clear" w:color="auto" w:fill="FFFFFF"/>
          <w:lang w:val="en-US"/>
        </w:rPr>
        <w:t>pneumoniae</w:t>
      </w:r>
      <w:proofErr w:type="spellEnd"/>
      <w:r w:rsidR="002C7ED5" w:rsidRPr="00160610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 and Proteus</w:t>
      </w:r>
      <w:r w:rsidR="002C7ED5" w:rsidRPr="00160610">
        <w:rPr>
          <w:sz w:val="24"/>
          <w:szCs w:val="24"/>
          <w:lang w:val="en-US"/>
        </w:rPr>
        <w:t xml:space="preserve"> were the most common </w:t>
      </w:r>
      <w:proofErr w:type="spellStart"/>
      <w:r w:rsidR="002C7ED5" w:rsidRPr="00160610">
        <w:rPr>
          <w:sz w:val="24"/>
          <w:szCs w:val="24"/>
          <w:lang w:val="en-US"/>
        </w:rPr>
        <w:t>uropathogenes</w:t>
      </w:r>
      <w:proofErr w:type="spellEnd"/>
      <w:r w:rsidR="002C7ED5" w:rsidRPr="00160610">
        <w:rPr>
          <w:sz w:val="24"/>
          <w:szCs w:val="24"/>
          <w:lang w:val="en-US"/>
        </w:rPr>
        <w:t xml:space="preserve"> [</w:t>
      </w:r>
      <w:r w:rsidR="00E23880" w:rsidRPr="00160610">
        <w:rPr>
          <w:sz w:val="24"/>
          <w:szCs w:val="24"/>
          <w:lang w:val="en-US"/>
        </w:rPr>
        <w:t>8</w:t>
      </w:r>
      <w:proofErr w:type="gramStart"/>
      <w:r w:rsidR="001E4FE0" w:rsidRPr="00160610">
        <w:rPr>
          <w:sz w:val="24"/>
          <w:szCs w:val="24"/>
          <w:lang w:val="en-US"/>
        </w:rPr>
        <w:t>,9</w:t>
      </w:r>
      <w:proofErr w:type="gramEnd"/>
      <w:r w:rsidR="002C7ED5" w:rsidRPr="00160610">
        <w:rPr>
          <w:sz w:val="24"/>
          <w:szCs w:val="24"/>
          <w:lang w:val="en-US"/>
        </w:rPr>
        <w:t xml:space="preserve">]. </w:t>
      </w:r>
      <w:r w:rsidR="00E23880" w:rsidRPr="00160610">
        <w:rPr>
          <w:sz w:val="24"/>
          <w:szCs w:val="24"/>
          <w:lang w:val="en-US"/>
        </w:rPr>
        <w:t>Nowadays, there are</w:t>
      </w:r>
      <w:r w:rsidR="00B66C33" w:rsidRPr="00160610">
        <w:rPr>
          <w:sz w:val="24"/>
          <w:szCs w:val="24"/>
          <w:lang w:val="en-US"/>
        </w:rPr>
        <w:t xml:space="preserve"> </w:t>
      </w:r>
      <w:r w:rsidR="00B66C33" w:rsidRPr="00160610">
        <w:rPr>
          <w:bCs/>
          <w:sz w:val="24"/>
          <w:szCs w:val="24"/>
          <w:lang w:val="en-US"/>
        </w:rPr>
        <w:t>several</w:t>
      </w:r>
      <w:r w:rsidR="00E23880" w:rsidRPr="00160610">
        <w:rPr>
          <w:bCs/>
          <w:sz w:val="24"/>
          <w:szCs w:val="24"/>
          <w:lang w:val="en-US"/>
        </w:rPr>
        <w:t xml:space="preserve"> </w:t>
      </w:r>
      <w:r w:rsidR="00E23880" w:rsidRPr="00160610">
        <w:rPr>
          <w:sz w:val="24"/>
          <w:szCs w:val="24"/>
          <w:lang w:val="en-US"/>
        </w:rPr>
        <w:t xml:space="preserve">reports about COVID-19 associated </w:t>
      </w:r>
      <w:r w:rsidR="003C1BE3" w:rsidRPr="00160610">
        <w:rPr>
          <w:sz w:val="24"/>
          <w:szCs w:val="24"/>
          <w:lang w:val="en-US"/>
        </w:rPr>
        <w:t>cystitis, which</w:t>
      </w:r>
      <w:r w:rsidR="007E4BEE" w:rsidRPr="00160610">
        <w:rPr>
          <w:sz w:val="24"/>
          <w:szCs w:val="24"/>
          <w:lang w:val="en-US"/>
        </w:rPr>
        <w:t xml:space="preserve"> </w:t>
      </w:r>
      <w:proofErr w:type="gramStart"/>
      <w:r w:rsidR="007E4BEE" w:rsidRPr="00160610">
        <w:rPr>
          <w:sz w:val="24"/>
          <w:szCs w:val="24"/>
          <w:lang w:val="en-US"/>
        </w:rPr>
        <w:t>can be related</w:t>
      </w:r>
      <w:proofErr w:type="gramEnd"/>
      <w:r w:rsidR="007E4BEE" w:rsidRPr="00160610">
        <w:rPr>
          <w:sz w:val="24"/>
          <w:szCs w:val="24"/>
          <w:lang w:val="en-US"/>
        </w:rPr>
        <w:t xml:space="preserve"> with</w:t>
      </w:r>
      <w:r w:rsidR="00160610">
        <w:rPr>
          <w:sz w:val="24"/>
          <w:szCs w:val="24"/>
          <w:lang w:val="en-US"/>
        </w:rPr>
        <w:t xml:space="preserve"> an</w:t>
      </w:r>
      <w:r w:rsidR="007E4BEE" w:rsidRPr="00160610">
        <w:rPr>
          <w:sz w:val="24"/>
          <w:szCs w:val="24"/>
          <w:lang w:val="en-US"/>
        </w:rPr>
        <w:t xml:space="preserve"> </w:t>
      </w:r>
      <w:r w:rsidR="001C279E" w:rsidRPr="00160610">
        <w:rPr>
          <w:sz w:val="24"/>
          <w:szCs w:val="24"/>
          <w:lang w:val="en-US"/>
        </w:rPr>
        <w:t xml:space="preserve">increased release of </w:t>
      </w:r>
      <w:r w:rsidR="00160610">
        <w:rPr>
          <w:sz w:val="24"/>
          <w:szCs w:val="24"/>
          <w:lang w:val="en-US"/>
        </w:rPr>
        <w:t xml:space="preserve">the </w:t>
      </w:r>
      <w:r w:rsidR="001C279E" w:rsidRPr="00160610">
        <w:rPr>
          <w:sz w:val="24"/>
          <w:szCs w:val="24"/>
          <w:lang w:val="en-US"/>
        </w:rPr>
        <w:t>urinary inflammatory cytokines or</w:t>
      </w:r>
      <w:r w:rsidR="00160610">
        <w:rPr>
          <w:sz w:val="24"/>
          <w:szCs w:val="24"/>
          <w:lang w:val="en-US"/>
        </w:rPr>
        <w:t xml:space="preserve"> the </w:t>
      </w:r>
      <w:r w:rsidR="001C279E" w:rsidRPr="00160610">
        <w:rPr>
          <w:sz w:val="24"/>
          <w:szCs w:val="24"/>
          <w:lang w:val="en-US"/>
        </w:rPr>
        <w:t xml:space="preserve">direct </w:t>
      </w:r>
      <w:r w:rsidR="00E71CC9" w:rsidRPr="00160610">
        <w:rPr>
          <w:sz w:val="24"/>
          <w:szCs w:val="24"/>
          <w:lang w:val="en-US"/>
        </w:rPr>
        <w:t>interaction of SARS-</w:t>
      </w:r>
      <w:proofErr w:type="spellStart"/>
      <w:r w:rsidR="00E71CC9" w:rsidRPr="00160610">
        <w:rPr>
          <w:sz w:val="24"/>
          <w:szCs w:val="24"/>
          <w:lang w:val="en-US"/>
        </w:rPr>
        <w:t>CoV</w:t>
      </w:r>
      <w:proofErr w:type="spellEnd"/>
      <w:r w:rsidR="00E71CC9" w:rsidRPr="00160610">
        <w:rPr>
          <w:sz w:val="24"/>
          <w:szCs w:val="24"/>
          <w:lang w:val="en-US"/>
        </w:rPr>
        <w:t xml:space="preserve"> 2 with</w:t>
      </w:r>
      <w:r w:rsidR="001C279E" w:rsidRPr="00160610">
        <w:rPr>
          <w:sz w:val="24"/>
          <w:szCs w:val="24"/>
          <w:lang w:val="en-US"/>
        </w:rPr>
        <w:t xml:space="preserve"> mucosa of </w:t>
      </w:r>
      <w:r w:rsidR="003C1BE3" w:rsidRPr="00160610">
        <w:rPr>
          <w:sz w:val="24"/>
          <w:szCs w:val="24"/>
          <w:lang w:val="en-US"/>
        </w:rPr>
        <w:t>the urinary</w:t>
      </w:r>
      <w:r w:rsidR="006B7D24" w:rsidRPr="00160610">
        <w:rPr>
          <w:sz w:val="24"/>
          <w:szCs w:val="24"/>
          <w:lang w:val="en-US"/>
        </w:rPr>
        <w:t xml:space="preserve"> bladder [10-12</w:t>
      </w:r>
      <w:r w:rsidR="001C279E" w:rsidRPr="00160610">
        <w:rPr>
          <w:sz w:val="24"/>
          <w:szCs w:val="24"/>
          <w:lang w:val="en-US"/>
        </w:rPr>
        <w:t xml:space="preserve">]. </w:t>
      </w:r>
      <w:r w:rsidR="00312E23" w:rsidRPr="00160610">
        <w:rPr>
          <w:sz w:val="24"/>
          <w:szCs w:val="24"/>
          <w:lang w:val="en-US"/>
        </w:rPr>
        <w:t>In this</w:t>
      </w:r>
      <w:r w:rsidR="00D26A03" w:rsidRPr="00160610">
        <w:rPr>
          <w:sz w:val="24"/>
          <w:szCs w:val="24"/>
          <w:lang w:val="en-US"/>
        </w:rPr>
        <w:t xml:space="preserve"> </w:t>
      </w:r>
      <w:r w:rsidR="00254264" w:rsidRPr="00160610">
        <w:rPr>
          <w:bCs/>
          <w:sz w:val="24"/>
          <w:szCs w:val="24"/>
          <w:lang w:val="en-US"/>
        </w:rPr>
        <w:t>Editorial</w:t>
      </w:r>
      <w:r w:rsidR="00132BCA" w:rsidRPr="00160610">
        <w:rPr>
          <w:sz w:val="24"/>
          <w:szCs w:val="24"/>
          <w:lang w:val="en-US"/>
        </w:rPr>
        <w:t>,</w:t>
      </w:r>
      <w:r w:rsidR="00312E23" w:rsidRPr="00160610">
        <w:rPr>
          <w:sz w:val="24"/>
          <w:szCs w:val="24"/>
          <w:lang w:val="en-US"/>
        </w:rPr>
        <w:t xml:space="preserve"> we will consider</w:t>
      </w:r>
      <w:r w:rsidR="00D638AA" w:rsidRPr="00160610">
        <w:rPr>
          <w:sz w:val="24"/>
          <w:szCs w:val="24"/>
          <w:lang w:val="en-US"/>
        </w:rPr>
        <w:t xml:space="preserve"> possible scenarios</w:t>
      </w:r>
      <w:r w:rsidR="00312E23" w:rsidRPr="00160610">
        <w:rPr>
          <w:sz w:val="24"/>
          <w:szCs w:val="24"/>
          <w:lang w:val="en-US"/>
        </w:rPr>
        <w:t xml:space="preserve"> of</w:t>
      </w:r>
      <w:r w:rsidR="00D638AA" w:rsidRPr="00160610">
        <w:rPr>
          <w:sz w:val="24"/>
          <w:szCs w:val="24"/>
          <w:lang w:val="en-US"/>
        </w:rPr>
        <w:t xml:space="preserve"> the </w:t>
      </w:r>
      <w:r w:rsidR="00014E53" w:rsidRPr="00160610">
        <w:rPr>
          <w:sz w:val="24"/>
          <w:szCs w:val="24"/>
          <w:lang w:val="en-US"/>
        </w:rPr>
        <w:t>development</w:t>
      </w:r>
      <w:r w:rsidR="0071341D">
        <w:rPr>
          <w:sz w:val="24"/>
          <w:szCs w:val="24"/>
          <w:lang w:val="en-US"/>
        </w:rPr>
        <w:t xml:space="preserve"> of</w:t>
      </w:r>
      <w:r w:rsidR="00014E53" w:rsidRPr="00160610">
        <w:rPr>
          <w:sz w:val="24"/>
          <w:szCs w:val="24"/>
          <w:lang w:val="en-US"/>
        </w:rPr>
        <w:t xml:space="preserve"> antibiotic</w:t>
      </w:r>
      <w:r w:rsidR="00312E23" w:rsidRPr="00160610">
        <w:rPr>
          <w:sz w:val="24"/>
          <w:szCs w:val="24"/>
          <w:lang w:val="en-US"/>
        </w:rPr>
        <w:t xml:space="preserve"> resistance after pandemic COVID-19 in patients with</w:t>
      </w:r>
      <w:r w:rsidR="00132BCA" w:rsidRPr="00160610">
        <w:rPr>
          <w:sz w:val="24"/>
          <w:szCs w:val="24"/>
          <w:lang w:val="en-US"/>
        </w:rPr>
        <w:t xml:space="preserve"> urinary tract infection (</w:t>
      </w:r>
      <w:r w:rsidR="00312E23" w:rsidRPr="00160610">
        <w:rPr>
          <w:sz w:val="24"/>
          <w:szCs w:val="24"/>
          <w:lang w:val="en-US"/>
        </w:rPr>
        <w:t>UTI</w:t>
      </w:r>
      <w:r w:rsidR="00132BCA" w:rsidRPr="00160610">
        <w:rPr>
          <w:sz w:val="24"/>
          <w:szCs w:val="24"/>
          <w:lang w:val="en-US"/>
        </w:rPr>
        <w:t>)</w:t>
      </w:r>
      <w:r w:rsidR="00312E23" w:rsidRPr="00160610">
        <w:rPr>
          <w:sz w:val="24"/>
          <w:szCs w:val="24"/>
          <w:lang w:val="en-US"/>
        </w:rPr>
        <w:t>.</w:t>
      </w:r>
    </w:p>
    <w:p w14:paraId="70A0AB88" w14:textId="77777777" w:rsidR="00FC04E2" w:rsidRDefault="00FC04E2" w:rsidP="008619EB">
      <w:pPr>
        <w:jc w:val="both"/>
        <w:rPr>
          <w:b/>
          <w:sz w:val="24"/>
          <w:szCs w:val="24"/>
          <w:lang w:val="en-US"/>
        </w:rPr>
      </w:pPr>
    </w:p>
    <w:p w14:paraId="5EE164CF" w14:textId="77777777" w:rsidR="008E2C4D" w:rsidRDefault="008E2C4D" w:rsidP="008619EB">
      <w:pPr>
        <w:jc w:val="both"/>
        <w:rPr>
          <w:b/>
          <w:sz w:val="24"/>
          <w:szCs w:val="24"/>
          <w:lang w:val="en-US"/>
        </w:rPr>
      </w:pPr>
    </w:p>
    <w:p w14:paraId="07E54254" w14:textId="77777777" w:rsidR="008E2C4D" w:rsidRDefault="008E2C4D" w:rsidP="008619EB">
      <w:pPr>
        <w:jc w:val="both"/>
        <w:rPr>
          <w:b/>
          <w:sz w:val="24"/>
          <w:szCs w:val="24"/>
          <w:lang w:val="en-US"/>
        </w:rPr>
      </w:pPr>
    </w:p>
    <w:p w14:paraId="012E3DED" w14:textId="77777777" w:rsidR="00176E57" w:rsidRDefault="00176E57" w:rsidP="008619EB">
      <w:pPr>
        <w:jc w:val="both"/>
        <w:rPr>
          <w:b/>
          <w:sz w:val="24"/>
          <w:szCs w:val="24"/>
          <w:lang w:val="en-US"/>
        </w:rPr>
      </w:pPr>
    </w:p>
    <w:p w14:paraId="660A636B" w14:textId="77777777" w:rsidR="00D26A03" w:rsidRDefault="00D26A03" w:rsidP="008619EB">
      <w:pPr>
        <w:jc w:val="both"/>
        <w:rPr>
          <w:b/>
          <w:sz w:val="24"/>
          <w:szCs w:val="24"/>
          <w:lang w:val="en-US"/>
        </w:rPr>
      </w:pPr>
    </w:p>
    <w:p w14:paraId="3794F429" w14:textId="77777777" w:rsidR="00D26A03" w:rsidRDefault="00D26A03" w:rsidP="008619EB">
      <w:pPr>
        <w:jc w:val="both"/>
        <w:rPr>
          <w:b/>
          <w:sz w:val="24"/>
          <w:szCs w:val="24"/>
          <w:lang w:val="en-US"/>
        </w:rPr>
      </w:pPr>
    </w:p>
    <w:p w14:paraId="6867AA99" w14:textId="77777777" w:rsidR="00D26A03" w:rsidRDefault="00D26A03" w:rsidP="008619EB">
      <w:pPr>
        <w:jc w:val="both"/>
        <w:rPr>
          <w:b/>
          <w:sz w:val="24"/>
          <w:szCs w:val="24"/>
          <w:lang w:val="en-US"/>
        </w:rPr>
      </w:pPr>
    </w:p>
    <w:p w14:paraId="6C08AA63" w14:textId="77777777" w:rsidR="003E3D5F" w:rsidRDefault="003E3D5F" w:rsidP="00290A41">
      <w:pPr>
        <w:spacing w:line="480" w:lineRule="auto"/>
        <w:jc w:val="both"/>
        <w:rPr>
          <w:b/>
          <w:sz w:val="24"/>
          <w:szCs w:val="24"/>
          <w:lang w:val="en-US"/>
        </w:rPr>
      </w:pPr>
    </w:p>
    <w:p w14:paraId="237D8D01" w14:textId="40738FF7" w:rsidR="00133109" w:rsidRPr="00160610" w:rsidRDefault="00D01184" w:rsidP="00290A41">
      <w:pPr>
        <w:spacing w:line="480" w:lineRule="auto"/>
        <w:jc w:val="both"/>
        <w:rPr>
          <w:b/>
          <w:color w:val="000000" w:themeColor="text1"/>
          <w:sz w:val="24"/>
          <w:szCs w:val="24"/>
          <w:lang w:val="en-US"/>
        </w:rPr>
      </w:pPr>
      <w:r w:rsidRPr="00160610">
        <w:rPr>
          <w:b/>
          <w:color w:val="000000" w:themeColor="text1"/>
          <w:sz w:val="24"/>
          <w:szCs w:val="24"/>
          <w:lang w:val="en-US"/>
        </w:rPr>
        <w:lastRenderedPageBreak/>
        <w:t>Current l</w:t>
      </w:r>
      <w:r w:rsidR="008E2C4D" w:rsidRPr="00160610">
        <w:rPr>
          <w:b/>
          <w:color w:val="000000" w:themeColor="text1"/>
          <w:sz w:val="24"/>
          <w:szCs w:val="24"/>
          <w:lang w:val="en-US"/>
        </w:rPr>
        <w:t xml:space="preserve">evel of </w:t>
      </w:r>
      <w:r w:rsidR="008B2FB3" w:rsidRPr="00160610">
        <w:rPr>
          <w:b/>
          <w:color w:val="000000" w:themeColor="text1"/>
          <w:sz w:val="24"/>
          <w:szCs w:val="24"/>
          <w:lang w:val="en-US"/>
        </w:rPr>
        <w:t xml:space="preserve">resistance </w:t>
      </w:r>
      <w:r w:rsidR="003E3D5F" w:rsidRPr="00160610">
        <w:rPr>
          <w:b/>
          <w:color w:val="000000" w:themeColor="text1"/>
          <w:sz w:val="24"/>
          <w:szCs w:val="24"/>
          <w:lang w:val="en-US"/>
        </w:rPr>
        <w:t>to</w:t>
      </w:r>
      <w:r w:rsidR="008E2C4D" w:rsidRPr="00160610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133109" w:rsidRPr="00160610">
        <w:rPr>
          <w:b/>
          <w:color w:val="000000" w:themeColor="text1"/>
          <w:sz w:val="24"/>
          <w:szCs w:val="24"/>
          <w:lang w:val="en-US"/>
        </w:rPr>
        <w:t xml:space="preserve">different antibiotics </w:t>
      </w:r>
      <w:r w:rsidR="002D0530" w:rsidRPr="00160610">
        <w:rPr>
          <w:b/>
          <w:color w:val="000000" w:themeColor="text1"/>
          <w:sz w:val="24"/>
          <w:szCs w:val="24"/>
          <w:lang w:val="en-US"/>
        </w:rPr>
        <w:t>for</w:t>
      </w:r>
      <w:r w:rsidR="008B2FB3" w:rsidRPr="00160610">
        <w:rPr>
          <w:b/>
          <w:color w:val="000000" w:themeColor="text1"/>
          <w:sz w:val="24"/>
          <w:szCs w:val="24"/>
          <w:lang w:val="en-US"/>
        </w:rPr>
        <w:t xml:space="preserve"> UTI</w:t>
      </w:r>
      <w:r w:rsidR="00840A0D" w:rsidRPr="00160610">
        <w:rPr>
          <w:b/>
          <w:color w:val="000000" w:themeColor="text1"/>
          <w:sz w:val="24"/>
          <w:szCs w:val="24"/>
          <w:lang w:val="en-US"/>
        </w:rPr>
        <w:t>s</w:t>
      </w:r>
      <w:r w:rsidR="00736142" w:rsidRPr="00160610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AC47EC" w:rsidRPr="00160610">
        <w:rPr>
          <w:b/>
          <w:color w:val="000000" w:themeColor="text1"/>
          <w:sz w:val="24"/>
          <w:szCs w:val="24"/>
          <w:lang w:val="en-US"/>
        </w:rPr>
        <w:t>caused by</w:t>
      </w:r>
      <w:r w:rsidR="002D0530" w:rsidRPr="00160610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24B56" w:rsidRPr="00160610">
        <w:rPr>
          <w:b/>
          <w:color w:val="000000" w:themeColor="text1"/>
          <w:sz w:val="24"/>
          <w:szCs w:val="24"/>
          <w:lang w:val="en-US"/>
        </w:rPr>
        <w:t xml:space="preserve">common </w:t>
      </w:r>
      <w:proofErr w:type="spellStart"/>
      <w:r w:rsidR="00F24B56" w:rsidRPr="00160610">
        <w:rPr>
          <w:b/>
          <w:color w:val="000000" w:themeColor="text1"/>
          <w:sz w:val="24"/>
          <w:szCs w:val="24"/>
          <w:lang w:val="en-US"/>
        </w:rPr>
        <w:t>uropathogen</w:t>
      </w:r>
      <w:r w:rsidR="00736142" w:rsidRPr="00160610">
        <w:rPr>
          <w:b/>
          <w:color w:val="000000" w:themeColor="text1"/>
          <w:sz w:val="24"/>
          <w:szCs w:val="24"/>
          <w:lang w:val="en-US"/>
        </w:rPr>
        <w:t>s</w:t>
      </w:r>
      <w:proofErr w:type="spellEnd"/>
    </w:p>
    <w:p w14:paraId="22972EB7" w14:textId="2574DDBB" w:rsidR="00054BE5" w:rsidRPr="00500CC9" w:rsidRDefault="00471D60" w:rsidP="00C447C9">
      <w:pPr>
        <w:spacing w:line="480" w:lineRule="auto"/>
        <w:jc w:val="both"/>
        <w:rPr>
          <w:sz w:val="24"/>
          <w:szCs w:val="24"/>
          <w:lang w:val="en-US"/>
        </w:rPr>
      </w:pPr>
      <w:r w:rsidRPr="00500CC9">
        <w:rPr>
          <w:sz w:val="24"/>
          <w:szCs w:val="24"/>
          <w:lang w:val="en-US"/>
        </w:rPr>
        <w:t>Traditionally,</w:t>
      </w:r>
      <w:r w:rsidR="00A2797D" w:rsidRPr="00500CC9">
        <w:rPr>
          <w:sz w:val="24"/>
          <w:szCs w:val="24"/>
          <w:lang w:val="en-US"/>
        </w:rPr>
        <w:t xml:space="preserve"> microorganisms</w:t>
      </w:r>
      <w:r w:rsidRPr="00500CC9">
        <w:rPr>
          <w:sz w:val="24"/>
          <w:szCs w:val="24"/>
          <w:lang w:val="en-US"/>
        </w:rPr>
        <w:t xml:space="preserve"> of </w:t>
      </w:r>
      <w:proofErr w:type="spellStart"/>
      <w:r w:rsidRPr="00500CC9">
        <w:rPr>
          <w:sz w:val="24"/>
          <w:szCs w:val="24"/>
          <w:lang w:val="en-US"/>
        </w:rPr>
        <w:t>Enterobacteriaceae</w:t>
      </w:r>
      <w:proofErr w:type="spellEnd"/>
      <w:r w:rsidRPr="00500CC9">
        <w:rPr>
          <w:sz w:val="24"/>
          <w:szCs w:val="24"/>
          <w:lang w:val="en-US"/>
        </w:rPr>
        <w:t xml:space="preserve"> </w:t>
      </w:r>
      <w:r w:rsidR="001B6B63" w:rsidRPr="00500CC9">
        <w:rPr>
          <w:sz w:val="24"/>
          <w:szCs w:val="24"/>
          <w:lang w:val="en-US"/>
        </w:rPr>
        <w:t xml:space="preserve">family </w:t>
      </w:r>
      <w:r w:rsidR="00104FA5" w:rsidRPr="00500CC9">
        <w:rPr>
          <w:bCs/>
          <w:sz w:val="24"/>
          <w:szCs w:val="24"/>
          <w:lang w:val="en-US"/>
        </w:rPr>
        <w:t xml:space="preserve">represent </w:t>
      </w:r>
      <w:r w:rsidR="00766856" w:rsidRPr="00500CC9">
        <w:rPr>
          <w:bCs/>
          <w:sz w:val="24"/>
          <w:szCs w:val="24"/>
          <w:lang w:val="en-US"/>
        </w:rPr>
        <w:t>the most relevant</w:t>
      </w:r>
      <w:r w:rsidRPr="00500CC9">
        <w:rPr>
          <w:sz w:val="24"/>
          <w:szCs w:val="24"/>
          <w:lang w:val="en-US"/>
        </w:rPr>
        <w:t xml:space="preserve"> etiological factor</w:t>
      </w:r>
      <w:r w:rsidR="00012D65">
        <w:rPr>
          <w:sz w:val="24"/>
          <w:szCs w:val="24"/>
          <w:lang w:val="en-US"/>
        </w:rPr>
        <w:t>s</w:t>
      </w:r>
      <w:r w:rsidRPr="00500CC9">
        <w:rPr>
          <w:sz w:val="24"/>
          <w:szCs w:val="24"/>
          <w:lang w:val="en-US"/>
        </w:rPr>
        <w:t xml:space="preserve"> for</w:t>
      </w:r>
      <w:r w:rsidR="00787013" w:rsidRPr="00500CC9">
        <w:rPr>
          <w:sz w:val="24"/>
          <w:szCs w:val="24"/>
          <w:lang w:val="en-US"/>
        </w:rPr>
        <w:t xml:space="preserve"> different UTI</w:t>
      </w:r>
      <w:r w:rsidR="00840A0D" w:rsidRPr="00500CC9">
        <w:rPr>
          <w:sz w:val="24"/>
          <w:szCs w:val="24"/>
          <w:lang w:val="en-US"/>
        </w:rPr>
        <w:t>s</w:t>
      </w:r>
      <w:r w:rsidR="00787013" w:rsidRPr="00500CC9">
        <w:rPr>
          <w:sz w:val="24"/>
          <w:szCs w:val="24"/>
          <w:lang w:val="en-US"/>
        </w:rPr>
        <w:t xml:space="preserve"> [13].</w:t>
      </w:r>
      <w:r w:rsidRPr="00500CC9">
        <w:rPr>
          <w:sz w:val="24"/>
          <w:szCs w:val="24"/>
          <w:lang w:val="en-US"/>
        </w:rPr>
        <w:t xml:space="preserve"> </w:t>
      </w:r>
      <w:r w:rsidR="001B6B63" w:rsidRPr="00500CC9">
        <w:rPr>
          <w:sz w:val="24"/>
          <w:szCs w:val="24"/>
          <w:lang w:val="en-US"/>
        </w:rPr>
        <w:t xml:space="preserve">Nowadays, there are </w:t>
      </w:r>
      <w:r w:rsidR="00D540B7" w:rsidRPr="00500CC9">
        <w:rPr>
          <w:sz w:val="24"/>
          <w:szCs w:val="24"/>
          <w:lang w:val="en-US"/>
        </w:rPr>
        <w:t>many data</w:t>
      </w:r>
      <w:r w:rsidR="001B6B63" w:rsidRPr="00500CC9">
        <w:rPr>
          <w:sz w:val="24"/>
          <w:szCs w:val="24"/>
          <w:lang w:val="en-US"/>
        </w:rPr>
        <w:t xml:space="preserve"> about the level </w:t>
      </w:r>
      <w:r w:rsidR="00840A0D" w:rsidRPr="00500CC9">
        <w:rPr>
          <w:bCs/>
          <w:sz w:val="24"/>
          <w:szCs w:val="24"/>
          <w:lang w:val="en-US"/>
        </w:rPr>
        <w:t xml:space="preserve">of </w:t>
      </w:r>
      <w:r w:rsidR="00D540B7" w:rsidRPr="00500CC9">
        <w:rPr>
          <w:bCs/>
          <w:sz w:val="24"/>
          <w:szCs w:val="24"/>
          <w:lang w:val="en-US"/>
        </w:rPr>
        <w:t>r</w:t>
      </w:r>
      <w:r w:rsidR="00D540B7" w:rsidRPr="00500CC9">
        <w:rPr>
          <w:sz w:val="24"/>
          <w:szCs w:val="24"/>
          <w:lang w:val="en-US"/>
        </w:rPr>
        <w:t>esistance</w:t>
      </w:r>
      <w:r w:rsidR="00950C77" w:rsidRPr="00500CC9">
        <w:rPr>
          <w:sz w:val="24"/>
          <w:szCs w:val="24"/>
          <w:lang w:val="en-US"/>
        </w:rPr>
        <w:t xml:space="preserve"> to different antibiotic</w:t>
      </w:r>
      <w:r w:rsidR="00840A0D" w:rsidRPr="00500CC9">
        <w:rPr>
          <w:bCs/>
          <w:sz w:val="24"/>
          <w:szCs w:val="24"/>
          <w:lang w:val="en-US"/>
        </w:rPr>
        <w:t>s</w:t>
      </w:r>
      <w:r w:rsidR="00950C77" w:rsidRPr="00500CC9">
        <w:rPr>
          <w:sz w:val="24"/>
          <w:szCs w:val="24"/>
          <w:lang w:val="en-US"/>
        </w:rPr>
        <w:t>. Despite on definitive success of antibiotic</w:t>
      </w:r>
      <w:r w:rsidR="00840A0D" w:rsidRPr="00500CC9">
        <w:rPr>
          <w:sz w:val="24"/>
          <w:szCs w:val="24"/>
          <w:lang w:val="en-US"/>
        </w:rPr>
        <w:t xml:space="preserve"> </w:t>
      </w:r>
      <w:r w:rsidR="00840A0D" w:rsidRPr="00500CC9">
        <w:rPr>
          <w:bCs/>
          <w:sz w:val="24"/>
          <w:szCs w:val="24"/>
          <w:lang w:val="en-US"/>
        </w:rPr>
        <w:t>therapy</w:t>
      </w:r>
      <w:r w:rsidR="00950C77" w:rsidRPr="00500CC9">
        <w:rPr>
          <w:sz w:val="24"/>
          <w:szCs w:val="24"/>
          <w:lang w:val="en-US"/>
        </w:rPr>
        <w:t xml:space="preserve"> for treatment </w:t>
      </w:r>
      <w:r w:rsidR="00840A0D" w:rsidRPr="00500CC9">
        <w:rPr>
          <w:bCs/>
          <w:sz w:val="24"/>
          <w:szCs w:val="24"/>
          <w:lang w:val="en-US"/>
        </w:rPr>
        <w:t>of</w:t>
      </w:r>
      <w:r w:rsidR="00840A0D" w:rsidRPr="00500CC9">
        <w:rPr>
          <w:sz w:val="24"/>
          <w:szCs w:val="24"/>
          <w:lang w:val="en-US"/>
        </w:rPr>
        <w:t xml:space="preserve"> </w:t>
      </w:r>
      <w:r w:rsidR="00950C77" w:rsidRPr="00500CC9">
        <w:rPr>
          <w:color w:val="000000" w:themeColor="text1"/>
          <w:sz w:val="24"/>
          <w:szCs w:val="24"/>
          <w:lang w:val="en-US"/>
        </w:rPr>
        <w:t>UT</w:t>
      </w:r>
      <w:r w:rsidR="00054BE5" w:rsidRPr="00500CC9">
        <w:rPr>
          <w:color w:val="000000" w:themeColor="text1"/>
          <w:sz w:val="24"/>
          <w:szCs w:val="24"/>
          <w:lang w:val="en-US"/>
        </w:rPr>
        <w:t xml:space="preserve">I, </w:t>
      </w:r>
      <w:r w:rsidR="00160610" w:rsidRPr="00500CC9">
        <w:rPr>
          <w:color w:val="000000" w:themeColor="text1"/>
          <w:sz w:val="24"/>
          <w:szCs w:val="24"/>
          <w:lang w:val="en-US"/>
        </w:rPr>
        <w:t>antimicrobial</w:t>
      </w:r>
      <w:r w:rsidR="008A5A9D" w:rsidRPr="00500CC9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8A5A9D" w:rsidRPr="00500CC9">
        <w:rPr>
          <w:color w:val="000000" w:themeColor="text1"/>
          <w:sz w:val="24"/>
          <w:szCs w:val="24"/>
          <w:lang w:val="en-US"/>
        </w:rPr>
        <w:t>resistance</w:t>
      </w:r>
      <w:r w:rsidR="008A5A9D" w:rsidRPr="00500CC9">
        <w:rPr>
          <w:sz w:val="24"/>
          <w:szCs w:val="24"/>
          <w:lang w:val="en-US"/>
        </w:rPr>
        <w:t xml:space="preserve"> </w:t>
      </w:r>
      <w:r w:rsidR="00054BE5" w:rsidRPr="00500CC9">
        <w:rPr>
          <w:sz w:val="24"/>
          <w:szCs w:val="24"/>
          <w:lang w:val="en-US"/>
        </w:rPr>
        <w:t>still</w:t>
      </w:r>
      <w:proofErr w:type="gramEnd"/>
      <w:r w:rsidR="00840A0D" w:rsidRPr="00500CC9">
        <w:rPr>
          <w:sz w:val="24"/>
          <w:szCs w:val="24"/>
          <w:lang w:val="en-US"/>
        </w:rPr>
        <w:t xml:space="preserve"> </w:t>
      </w:r>
      <w:r w:rsidR="00840A0D" w:rsidRPr="00500CC9">
        <w:rPr>
          <w:bCs/>
          <w:sz w:val="24"/>
          <w:szCs w:val="24"/>
          <w:lang w:val="en-US"/>
        </w:rPr>
        <w:t>remains</w:t>
      </w:r>
      <w:r w:rsidR="00640A2E" w:rsidRPr="00500CC9">
        <w:rPr>
          <w:bCs/>
          <w:sz w:val="24"/>
          <w:szCs w:val="24"/>
          <w:lang w:val="en-US"/>
        </w:rPr>
        <w:t xml:space="preserve"> </w:t>
      </w:r>
      <w:r w:rsidR="00640A2E" w:rsidRPr="00500CC9">
        <w:rPr>
          <w:sz w:val="24"/>
          <w:szCs w:val="24"/>
          <w:lang w:val="en-US"/>
        </w:rPr>
        <w:t>a</w:t>
      </w:r>
      <w:r w:rsidR="00054BE5" w:rsidRPr="00500CC9">
        <w:rPr>
          <w:sz w:val="24"/>
          <w:szCs w:val="24"/>
          <w:lang w:val="en-US"/>
        </w:rPr>
        <w:t xml:space="preserve"> main public health problem</w:t>
      </w:r>
      <w:r w:rsidR="00640A2E" w:rsidRPr="00500CC9">
        <w:rPr>
          <w:sz w:val="24"/>
          <w:szCs w:val="24"/>
          <w:lang w:val="en-US"/>
        </w:rPr>
        <w:t xml:space="preserve"> in the world</w:t>
      </w:r>
      <w:r w:rsidR="00054BE5" w:rsidRPr="00500CC9">
        <w:rPr>
          <w:sz w:val="24"/>
          <w:szCs w:val="24"/>
          <w:lang w:val="en-US"/>
        </w:rPr>
        <w:t xml:space="preserve"> [</w:t>
      </w:r>
      <w:r w:rsidR="00787013" w:rsidRPr="00500CC9">
        <w:rPr>
          <w:sz w:val="24"/>
          <w:szCs w:val="24"/>
          <w:lang w:val="en-US"/>
        </w:rPr>
        <w:t>14</w:t>
      </w:r>
      <w:r w:rsidR="005A41F1" w:rsidRPr="00500CC9">
        <w:rPr>
          <w:sz w:val="24"/>
          <w:szCs w:val="24"/>
          <w:lang w:val="en-US"/>
        </w:rPr>
        <w:t>, 15</w:t>
      </w:r>
      <w:r w:rsidR="00787013" w:rsidRPr="00500CC9">
        <w:rPr>
          <w:sz w:val="24"/>
          <w:szCs w:val="24"/>
          <w:lang w:val="en-US"/>
        </w:rPr>
        <w:t>].</w:t>
      </w:r>
      <w:r w:rsidR="00054BE5" w:rsidRPr="00500CC9">
        <w:rPr>
          <w:sz w:val="24"/>
          <w:szCs w:val="24"/>
          <w:lang w:val="en-US"/>
        </w:rPr>
        <w:t xml:space="preserve"> </w:t>
      </w:r>
      <w:r w:rsidR="00012D65">
        <w:rPr>
          <w:sz w:val="24"/>
          <w:szCs w:val="24"/>
          <w:lang w:val="en-US"/>
        </w:rPr>
        <w:t xml:space="preserve">Among </w:t>
      </w:r>
      <w:r w:rsidR="00A2797D" w:rsidRPr="00500CC9">
        <w:rPr>
          <w:sz w:val="24"/>
          <w:szCs w:val="24"/>
          <w:lang w:val="en-US"/>
        </w:rPr>
        <w:t>different multidrug-resistant</w:t>
      </w:r>
      <w:r w:rsidR="008A5A9D" w:rsidRPr="00500CC9">
        <w:rPr>
          <w:sz w:val="24"/>
          <w:szCs w:val="24"/>
          <w:lang w:val="en-US"/>
        </w:rPr>
        <w:t xml:space="preserve"> microorganisms (MDM), E.</w:t>
      </w:r>
      <w:r w:rsidR="00012D65">
        <w:rPr>
          <w:sz w:val="24"/>
          <w:szCs w:val="24"/>
          <w:lang w:val="en-US"/>
        </w:rPr>
        <w:t xml:space="preserve"> </w:t>
      </w:r>
      <w:r w:rsidR="008A5A9D" w:rsidRPr="00500CC9">
        <w:rPr>
          <w:sz w:val="24"/>
          <w:szCs w:val="24"/>
          <w:lang w:val="en-US"/>
        </w:rPr>
        <w:t>coli is the most common causative pathogen</w:t>
      </w:r>
      <w:r w:rsidR="00E40951" w:rsidRPr="00500CC9">
        <w:rPr>
          <w:sz w:val="24"/>
          <w:szCs w:val="24"/>
          <w:lang w:val="en-US"/>
        </w:rPr>
        <w:t xml:space="preserve"> </w:t>
      </w:r>
      <w:r w:rsidR="00E40951" w:rsidRPr="00500CC9">
        <w:rPr>
          <w:bCs/>
          <w:sz w:val="24"/>
          <w:szCs w:val="24"/>
          <w:lang w:val="en-US"/>
        </w:rPr>
        <w:t>associated to UTI</w:t>
      </w:r>
      <w:r w:rsidR="008A5A9D" w:rsidRPr="00500CC9">
        <w:rPr>
          <w:sz w:val="24"/>
          <w:szCs w:val="24"/>
          <w:lang w:val="en-US"/>
        </w:rPr>
        <w:t xml:space="preserve">, followed by </w:t>
      </w:r>
      <w:proofErr w:type="spellStart"/>
      <w:r w:rsidR="008A5A9D" w:rsidRPr="00500CC9">
        <w:rPr>
          <w:sz w:val="24"/>
          <w:szCs w:val="24"/>
          <w:lang w:val="en-US"/>
        </w:rPr>
        <w:t>Kleb</w:t>
      </w:r>
      <w:r w:rsidR="005A41F1" w:rsidRPr="00500CC9">
        <w:rPr>
          <w:sz w:val="24"/>
          <w:szCs w:val="24"/>
          <w:lang w:val="en-US"/>
        </w:rPr>
        <w:t>siella</w:t>
      </w:r>
      <w:proofErr w:type="spellEnd"/>
      <w:r w:rsidR="005A41F1" w:rsidRPr="00500CC9">
        <w:rPr>
          <w:sz w:val="24"/>
          <w:szCs w:val="24"/>
          <w:lang w:val="en-US"/>
        </w:rPr>
        <w:t xml:space="preserve"> </w:t>
      </w:r>
      <w:proofErr w:type="spellStart"/>
      <w:r w:rsidR="005A41F1" w:rsidRPr="00500CC9">
        <w:rPr>
          <w:sz w:val="24"/>
          <w:szCs w:val="24"/>
          <w:lang w:val="en-US"/>
        </w:rPr>
        <w:t>spp</w:t>
      </w:r>
      <w:proofErr w:type="spellEnd"/>
      <w:r w:rsidR="005A41F1" w:rsidRPr="00500CC9">
        <w:rPr>
          <w:sz w:val="24"/>
          <w:szCs w:val="24"/>
          <w:lang w:val="en-US"/>
        </w:rPr>
        <w:t xml:space="preserve">, Enterococcus </w:t>
      </w:r>
      <w:proofErr w:type="spellStart"/>
      <w:r w:rsidR="005A41F1" w:rsidRPr="00500CC9">
        <w:rPr>
          <w:sz w:val="24"/>
          <w:szCs w:val="24"/>
          <w:lang w:val="en-US"/>
        </w:rPr>
        <w:t>spp</w:t>
      </w:r>
      <w:proofErr w:type="spellEnd"/>
      <w:r w:rsidR="005A41F1" w:rsidRPr="00500CC9">
        <w:rPr>
          <w:sz w:val="24"/>
          <w:szCs w:val="24"/>
          <w:lang w:val="en-US"/>
        </w:rPr>
        <w:t xml:space="preserve"> and other gram-negative bacteria</w:t>
      </w:r>
      <w:r w:rsidR="00E37B58" w:rsidRPr="00500CC9">
        <w:rPr>
          <w:sz w:val="24"/>
          <w:szCs w:val="24"/>
          <w:lang w:val="en-US"/>
        </w:rPr>
        <w:t>.</w:t>
      </w:r>
      <w:r w:rsidR="00E37B58" w:rsidRPr="00500CC9">
        <w:rPr>
          <w:lang w:val="en-US"/>
        </w:rPr>
        <w:t xml:space="preserve"> </w:t>
      </w:r>
      <w:r w:rsidR="00E37B58" w:rsidRPr="00500CC9">
        <w:rPr>
          <w:sz w:val="24"/>
          <w:szCs w:val="24"/>
          <w:lang w:val="en-US"/>
        </w:rPr>
        <w:t xml:space="preserve">Antibiotic resistance develops through the following mechanisms: efflux, exclusion, target modification, sequestration, </w:t>
      </w:r>
      <w:r w:rsidR="001365CA" w:rsidRPr="00500CC9">
        <w:rPr>
          <w:sz w:val="24"/>
          <w:szCs w:val="24"/>
          <w:lang w:val="en-US"/>
        </w:rPr>
        <w:t>and covalent</w:t>
      </w:r>
      <w:r w:rsidR="00E37B58" w:rsidRPr="00500CC9">
        <w:rPr>
          <w:sz w:val="24"/>
          <w:szCs w:val="24"/>
          <w:lang w:val="en-US"/>
        </w:rPr>
        <w:t xml:space="preserve"> inactivation</w:t>
      </w:r>
      <w:r w:rsidR="000502FB" w:rsidRPr="00500CC9">
        <w:rPr>
          <w:sz w:val="24"/>
          <w:szCs w:val="24"/>
          <w:lang w:val="en-US"/>
        </w:rPr>
        <w:t xml:space="preserve"> [16]. The choice of treatment for UTIs </w:t>
      </w:r>
      <w:proofErr w:type="gramStart"/>
      <w:r w:rsidR="000502FB" w:rsidRPr="00500CC9">
        <w:rPr>
          <w:sz w:val="24"/>
          <w:szCs w:val="24"/>
          <w:lang w:val="en-US"/>
        </w:rPr>
        <w:t>is usually based</w:t>
      </w:r>
      <w:proofErr w:type="gramEnd"/>
      <w:r w:rsidR="000502FB" w:rsidRPr="00500CC9">
        <w:rPr>
          <w:sz w:val="24"/>
          <w:szCs w:val="24"/>
          <w:lang w:val="en-US"/>
        </w:rPr>
        <w:t xml:space="preserve"> on history, laboratory findings, </w:t>
      </w:r>
      <w:r w:rsidR="00C1066A" w:rsidRPr="00500CC9">
        <w:rPr>
          <w:sz w:val="24"/>
          <w:szCs w:val="24"/>
          <w:lang w:val="en-US"/>
        </w:rPr>
        <w:t xml:space="preserve">results of </w:t>
      </w:r>
      <w:r w:rsidR="000502FB" w:rsidRPr="00500CC9">
        <w:rPr>
          <w:sz w:val="24"/>
          <w:szCs w:val="24"/>
          <w:lang w:val="en-US"/>
        </w:rPr>
        <w:t>urinalysis and urin</w:t>
      </w:r>
      <w:r w:rsidR="00C1066A" w:rsidRPr="00500CC9">
        <w:rPr>
          <w:sz w:val="24"/>
          <w:szCs w:val="24"/>
          <w:lang w:val="en-US"/>
        </w:rPr>
        <w:t>e culture</w:t>
      </w:r>
      <w:r w:rsidR="000502FB" w:rsidRPr="00500CC9">
        <w:rPr>
          <w:sz w:val="24"/>
          <w:szCs w:val="24"/>
          <w:lang w:val="en-US"/>
        </w:rPr>
        <w:t>, and clinical presentation.</w:t>
      </w:r>
      <w:r w:rsidR="00C1066A" w:rsidRPr="00500CC9">
        <w:rPr>
          <w:sz w:val="24"/>
          <w:szCs w:val="24"/>
          <w:lang w:val="en-US"/>
        </w:rPr>
        <w:t xml:space="preserve"> </w:t>
      </w:r>
      <w:r w:rsidR="001365CA" w:rsidRPr="00500CC9">
        <w:rPr>
          <w:sz w:val="24"/>
          <w:szCs w:val="24"/>
          <w:lang w:val="en-US"/>
        </w:rPr>
        <w:t xml:space="preserve">Unfortunately, </w:t>
      </w:r>
      <w:r w:rsidR="00253FC8" w:rsidRPr="00500CC9">
        <w:rPr>
          <w:bCs/>
          <w:sz w:val="24"/>
          <w:szCs w:val="24"/>
          <w:lang w:val="en-US"/>
        </w:rPr>
        <w:t xml:space="preserve">the </w:t>
      </w:r>
      <w:r w:rsidR="001365CA" w:rsidRPr="00500CC9">
        <w:rPr>
          <w:bCs/>
          <w:sz w:val="24"/>
          <w:szCs w:val="24"/>
          <w:lang w:val="en-US"/>
        </w:rPr>
        <w:t>majority</w:t>
      </w:r>
      <w:r w:rsidR="00253FC8" w:rsidRPr="00500CC9">
        <w:rPr>
          <w:bCs/>
          <w:sz w:val="24"/>
          <w:szCs w:val="24"/>
          <w:lang w:val="en-US"/>
        </w:rPr>
        <w:t xml:space="preserve"> of </w:t>
      </w:r>
      <w:r w:rsidR="001365CA" w:rsidRPr="00500CC9">
        <w:rPr>
          <w:bCs/>
          <w:sz w:val="24"/>
          <w:szCs w:val="24"/>
          <w:lang w:val="en-US"/>
        </w:rPr>
        <w:t>patients</w:t>
      </w:r>
      <w:r w:rsidR="00F44D7F" w:rsidRPr="00500CC9">
        <w:rPr>
          <w:bCs/>
          <w:sz w:val="24"/>
          <w:szCs w:val="24"/>
          <w:lang w:val="en-US"/>
        </w:rPr>
        <w:t xml:space="preserve"> who </w:t>
      </w:r>
      <w:r w:rsidR="00F82EDA" w:rsidRPr="00500CC9">
        <w:rPr>
          <w:bCs/>
          <w:sz w:val="24"/>
          <w:szCs w:val="24"/>
          <w:lang w:val="en-US"/>
        </w:rPr>
        <w:t xml:space="preserve">developed an </w:t>
      </w:r>
      <w:proofErr w:type="gramStart"/>
      <w:r w:rsidR="00F82EDA" w:rsidRPr="00500CC9">
        <w:rPr>
          <w:bCs/>
          <w:sz w:val="24"/>
          <w:szCs w:val="24"/>
          <w:lang w:val="en-US"/>
        </w:rPr>
        <w:t>UTI,</w:t>
      </w:r>
      <w:proofErr w:type="gramEnd"/>
      <w:r w:rsidR="001365CA" w:rsidRPr="00500CC9">
        <w:rPr>
          <w:bCs/>
          <w:sz w:val="24"/>
          <w:szCs w:val="24"/>
          <w:lang w:val="en-US"/>
        </w:rPr>
        <w:t xml:space="preserve"> </w:t>
      </w:r>
      <w:r w:rsidR="001365CA" w:rsidRPr="00500CC9">
        <w:rPr>
          <w:sz w:val="24"/>
          <w:szCs w:val="24"/>
          <w:lang w:val="en-US"/>
        </w:rPr>
        <w:t xml:space="preserve">have </w:t>
      </w:r>
      <w:r w:rsidR="00F82EDA" w:rsidRPr="00500CC9">
        <w:rPr>
          <w:bCs/>
          <w:sz w:val="24"/>
          <w:szCs w:val="24"/>
          <w:lang w:val="en-US"/>
        </w:rPr>
        <w:t>generally</w:t>
      </w:r>
      <w:r w:rsidR="00F82EDA" w:rsidRPr="00500CC9">
        <w:rPr>
          <w:sz w:val="24"/>
          <w:szCs w:val="24"/>
          <w:lang w:val="en-US"/>
        </w:rPr>
        <w:t xml:space="preserve"> </w:t>
      </w:r>
      <w:r w:rsidR="001365CA" w:rsidRPr="00500CC9">
        <w:rPr>
          <w:sz w:val="24"/>
          <w:szCs w:val="24"/>
          <w:lang w:val="en-US"/>
        </w:rPr>
        <w:t>recurrent upper and lower urinary tract infections</w:t>
      </w:r>
      <w:r w:rsidR="00F82EDA" w:rsidRPr="00500CC9">
        <w:rPr>
          <w:sz w:val="24"/>
          <w:szCs w:val="24"/>
          <w:lang w:val="en-US"/>
        </w:rPr>
        <w:t xml:space="preserve">. </w:t>
      </w:r>
      <w:r w:rsidR="00F82EDA" w:rsidRPr="00500CC9">
        <w:rPr>
          <w:bCs/>
          <w:sz w:val="24"/>
          <w:szCs w:val="24"/>
          <w:lang w:val="en-US"/>
        </w:rPr>
        <w:t xml:space="preserve">Nevertheless, </w:t>
      </w:r>
      <w:r w:rsidR="000C2BF1" w:rsidRPr="00500CC9">
        <w:rPr>
          <w:bCs/>
          <w:sz w:val="24"/>
          <w:szCs w:val="24"/>
          <w:lang w:val="en-US"/>
        </w:rPr>
        <w:t xml:space="preserve">current EAU and AUA guidelines </w:t>
      </w:r>
      <w:r w:rsidR="00F82EDA" w:rsidRPr="00500CC9">
        <w:rPr>
          <w:bCs/>
          <w:sz w:val="24"/>
          <w:szCs w:val="24"/>
          <w:lang w:val="en-US"/>
        </w:rPr>
        <w:t xml:space="preserve">cannot always </w:t>
      </w:r>
      <w:r w:rsidR="000C2BF1" w:rsidRPr="00500CC9">
        <w:rPr>
          <w:bCs/>
          <w:sz w:val="24"/>
          <w:szCs w:val="24"/>
          <w:lang w:val="en-US"/>
        </w:rPr>
        <w:t xml:space="preserve">provide </w:t>
      </w:r>
      <w:r w:rsidR="00F82EDA" w:rsidRPr="00500CC9">
        <w:rPr>
          <w:bCs/>
          <w:sz w:val="24"/>
          <w:szCs w:val="24"/>
          <w:lang w:val="en-US"/>
        </w:rPr>
        <w:t xml:space="preserve">a detailed </w:t>
      </w:r>
      <w:r w:rsidR="000C2BF1" w:rsidRPr="00500CC9">
        <w:rPr>
          <w:bCs/>
          <w:sz w:val="24"/>
          <w:szCs w:val="24"/>
          <w:lang w:val="en-US"/>
        </w:rPr>
        <w:t xml:space="preserve">microbiological and clinical </w:t>
      </w:r>
      <w:r w:rsidR="00F82EDA" w:rsidRPr="00500CC9">
        <w:rPr>
          <w:bCs/>
          <w:sz w:val="24"/>
          <w:szCs w:val="24"/>
          <w:lang w:val="en-US"/>
        </w:rPr>
        <w:t xml:space="preserve">therapy for </w:t>
      </w:r>
      <w:r w:rsidR="00500CC9" w:rsidRPr="00500CC9">
        <w:rPr>
          <w:bCs/>
          <w:sz w:val="24"/>
          <w:szCs w:val="24"/>
          <w:lang w:val="en-US"/>
        </w:rPr>
        <w:t>these clinical cases</w:t>
      </w:r>
      <w:r w:rsidR="000C2BF1" w:rsidRPr="00500CC9">
        <w:rPr>
          <w:bCs/>
          <w:sz w:val="24"/>
          <w:szCs w:val="24"/>
          <w:lang w:val="en-US"/>
        </w:rPr>
        <w:t>.</w:t>
      </w:r>
      <w:r w:rsidR="000C2BF1" w:rsidRPr="00500CC9">
        <w:rPr>
          <w:sz w:val="24"/>
          <w:szCs w:val="24"/>
          <w:lang w:val="en-US"/>
        </w:rPr>
        <w:t xml:space="preserve"> </w:t>
      </w:r>
      <w:r w:rsidR="00D42A58" w:rsidRPr="00500CC9">
        <w:rPr>
          <w:bCs/>
          <w:sz w:val="24"/>
          <w:szCs w:val="24"/>
          <w:lang w:val="en-US"/>
        </w:rPr>
        <w:t xml:space="preserve">In order to face this problem, </w:t>
      </w:r>
      <w:r w:rsidR="000C2BF1" w:rsidRPr="00500CC9">
        <w:rPr>
          <w:bCs/>
          <w:sz w:val="24"/>
          <w:szCs w:val="24"/>
          <w:lang w:val="en-US"/>
        </w:rPr>
        <w:t>urologist</w:t>
      </w:r>
      <w:r w:rsidR="00D42A58" w:rsidRPr="00500CC9">
        <w:rPr>
          <w:bCs/>
          <w:sz w:val="24"/>
          <w:szCs w:val="24"/>
          <w:lang w:val="en-US"/>
        </w:rPr>
        <w:t>s and</w:t>
      </w:r>
      <w:r w:rsidR="000C2BF1" w:rsidRPr="00500CC9">
        <w:rPr>
          <w:bCs/>
          <w:sz w:val="24"/>
          <w:szCs w:val="24"/>
          <w:lang w:val="en-US"/>
        </w:rPr>
        <w:t xml:space="preserve"> </w:t>
      </w:r>
      <w:r w:rsidR="00F21297" w:rsidRPr="00500CC9">
        <w:rPr>
          <w:bCs/>
          <w:sz w:val="24"/>
          <w:szCs w:val="24"/>
          <w:lang w:val="en-US"/>
        </w:rPr>
        <w:t xml:space="preserve">general practitioners </w:t>
      </w:r>
      <w:r w:rsidR="00D42A58" w:rsidRPr="00500CC9">
        <w:rPr>
          <w:bCs/>
          <w:sz w:val="24"/>
          <w:szCs w:val="24"/>
          <w:lang w:val="en-US"/>
        </w:rPr>
        <w:t xml:space="preserve">have tried to elaborate </w:t>
      </w:r>
      <w:proofErr w:type="spellStart"/>
      <w:r w:rsidR="00D42A58" w:rsidRPr="00500CC9">
        <w:rPr>
          <w:bCs/>
          <w:sz w:val="24"/>
          <w:szCs w:val="24"/>
          <w:lang w:val="en-US"/>
        </w:rPr>
        <w:t>therapeutical</w:t>
      </w:r>
      <w:proofErr w:type="spellEnd"/>
      <w:r w:rsidR="00F21297" w:rsidRPr="00500CC9">
        <w:rPr>
          <w:bCs/>
          <w:sz w:val="24"/>
          <w:szCs w:val="24"/>
          <w:lang w:val="en-US"/>
        </w:rPr>
        <w:t xml:space="preserve"> schemes based on urine culture results and</w:t>
      </w:r>
      <w:r w:rsidR="00D81AA0" w:rsidRPr="00500CC9">
        <w:rPr>
          <w:bCs/>
          <w:sz w:val="24"/>
          <w:szCs w:val="24"/>
          <w:lang w:val="en-US"/>
        </w:rPr>
        <w:t xml:space="preserve"> rates of antibiotic resistance</w:t>
      </w:r>
      <w:r w:rsidR="00D81AA0" w:rsidRPr="00500CC9">
        <w:rPr>
          <w:sz w:val="24"/>
          <w:szCs w:val="24"/>
          <w:lang w:val="en-US"/>
        </w:rPr>
        <w:t xml:space="preserve">. </w:t>
      </w:r>
      <w:r w:rsidR="00012D65">
        <w:rPr>
          <w:sz w:val="24"/>
          <w:szCs w:val="24"/>
          <w:lang w:val="en-US"/>
        </w:rPr>
        <w:t>The increase or decrease in</w:t>
      </w:r>
      <w:r w:rsidR="0026591C" w:rsidRPr="00500CC9">
        <w:rPr>
          <w:sz w:val="24"/>
          <w:szCs w:val="24"/>
          <w:lang w:val="en-US"/>
        </w:rPr>
        <w:t xml:space="preserve"> resistance rates to each specific antibiotic depends on the frequency of </w:t>
      </w:r>
      <w:r w:rsidR="00164A2E" w:rsidRPr="00500CC9">
        <w:rPr>
          <w:bCs/>
          <w:sz w:val="24"/>
          <w:szCs w:val="24"/>
          <w:lang w:val="en-US"/>
        </w:rPr>
        <w:t xml:space="preserve">its </w:t>
      </w:r>
      <w:r w:rsidR="0026591C" w:rsidRPr="00500CC9">
        <w:rPr>
          <w:sz w:val="24"/>
          <w:szCs w:val="24"/>
          <w:lang w:val="en-US"/>
        </w:rPr>
        <w:t>use as empirical therapy.</w:t>
      </w:r>
      <w:r w:rsidR="00736142" w:rsidRPr="00500CC9">
        <w:rPr>
          <w:sz w:val="24"/>
          <w:szCs w:val="24"/>
          <w:lang w:val="en-US"/>
        </w:rPr>
        <w:t xml:space="preserve"> </w:t>
      </w:r>
      <w:r w:rsidR="00F21297" w:rsidRPr="00500CC9">
        <w:rPr>
          <w:sz w:val="24"/>
          <w:szCs w:val="24"/>
          <w:lang w:val="en-US"/>
        </w:rPr>
        <w:t xml:space="preserve">The table 1 summarized results of different studies about rates </w:t>
      </w:r>
      <w:r w:rsidR="007F1DBC" w:rsidRPr="00500CC9">
        <w:rPr>
          <w:sz w:val="24"/>
          <w:szCs w:val="24"/>
          <w:lang w:val="en-US"/>
        </w:rPr>
        <w:t xml:space="preserve">of resistance for widely used </w:t>
      </w:r>
      <w:r w:rsidR="00F21297" w:rsidRPr="00500CC9">
        <w:rPr>
          <w:sz w:val="24"/>
          <w:szCs w:val="24"/>
          <w:lang w:val="en-US"/>
        </w:rPr>
        <w:t>antibiotic</w:t>
      </w:r>
      <w:r w:rsidR="007F1DBC" w:rsidRPr="00500CC9">
        <w:rPr>
          <w:sz w:val="24"/>
          <w:szCs w:val="24"/>
          <w:lang w:val="en-US"/>
        </w:rPr>
        <w:t xml:space="preserve"> for </w:t>
      </w:r>
      <w:r w:rsidR="00F73E38" w:rsidRPr="00500CC9">
        <w:rPr>
          <w:sz w:val="24"/>
          <w:szCs w:val="24"/>
          <w:lang w:val="en-US"/>
        </w:rPr>
        <w:t xml:space="preserve">UTI caused </w:t>
      </w:r>
      <w:r w:rsidR="00A544DF" w:rsidRPr="00500CC9">
        <w:rPr>
          <w:bCs/>
          <w:sz w:val="24"/>
          <w:szCs w:val="24"/>
          <w:lang w:val="en-US"/>
        </w:rPr>
        <w:t xml:space="preserve">by </w:t>
      </w:r>
      <w:r w:rsidR="00F73E38" w:rsidRPr="00500CC9">
        <w:rPr>
          <w:sz w:val="24"/>
          <w:szCs w:val="24"/>
          <w:lang w:val="en-US"/>
        </w:rPr>
        <w:t>the most prevalent</w:t>
      </w:r>
      <w:r w:rsidR="007F1DBC" w:rsidRPr="00500CC9">
        <w:rPr>
          <w:sz w:val="24"/>
          <w:szCs w:val="24"/>
          <w:lang w:val="en-US"/>
        </w:rPr>
        <w:t xml:space="preserve"> </w:t>
      </w:r>
      <w:proofErr w:type="spellStart"/>
      <w:r w:rsidR="00F21297" w:rsidRPr="00500CC9">
        <w:rPr>
          <w:sz w:val="24"/>
          <w:szCs w:val="24"/>
          <w:lang w:val="en-US"/>
        </w:rPr>
        <w:t>uropathogen</w:t>
      </w:r>
      <w:r w:rsidR="007F1DBC" w:rsidRPr="00500CC9">
        <w:rPr>
          <w:sz w:val="24"/>
          <w:szCs w:val="24"/>
          <w:lang w:val="en-US"/>
        </w:rPr>
        <w:t>s</w:t>
      </w:r>
      <w:proofErr w:type="spellEnd"/>
      <w:r w:rsidR="00F21297" w:rsidRPr="00500CC9">
        <w:rPr>
          <w:sz w:val="24"/>
          <w:szCs w:val="24"/>
          <w:lang w:val="en-US"/>
        </w:rPr>
        <w:t xml:space="preserve">. </w:t>
      </w:r>
    </w:p>
    <w:p w14:paraId="3D1833FF" w14:textId="15959A72" w:rsidR="00587A8C" w:rsidRPr="00160610" w:rsidRDefault="00587A8C" w:rsidP="00164A2E">
      <w:pPr>
        <w:spacing w:line="480" w:lineRule="auto"/>
        <w:jc w:val="both"/>
        <w:rPr>
          <w:b/>
          <w:color w:val="000000" w:themeColor="text1"/>
          <w:sz w:val="24"/>
          <w:szCs w:val="24"/>
          <w:lang w:val="en-US"/>
        </w:rPr>
      </w:pPr>
      <w:r w:rsidRPr="00160610">
        <w:rPr>
          <w:b/>
          <w:color w:val="000000" w:themeColor="text1"/>
          <w:sz w:val="24"/>
          <w:szCs w:val="24"/>
          <w:lang w:val="en-US"/>
        </w:rPr>
        <w:t xml:space="preserve">Potential adverse effects </w:t>
      </w:r>
      <w:r w:rsidR="008B2FB3" w:rsidRPr="00160610">
        <w:rPr>
          <w:b/>
          <w:color w:val="000000" w:themeColor="text1"/>
          <w:sz w:val="24"/>
          <w:szCs w:val="24"/>
          <w:lang w:val="en-US"/>
        </w:rPr>
        <w:t xml:space="preserve">of COVID-19 on antibiotic </w:t>
      </w:r>
      <w:r w:rsidR="00AB073A" w:rsidRPr="00160610">
        <w:rPr>
          <w:b/>
          <w:color w:val="000000" w:themeColor="text1"/>
          <w:sz w:val="24"/>
          <w:szCs w:val="24"/>
          <w:lang w:val="en-US"/>
        </w:rPr>
        <w:t>therapy for</w:t>
      </w:r>
      <w:r w:rsidR="008B2FB3" w:rsidRPr="00160610">
        <w:rPr>
          <w:b/>
          <w:color w:val="000000" w:themeColor="text1"/>
          <w:sz w:val="24"/>
          <w:szCs w:val="24"/>
          <w:lang w:val="en-US"/>
        </w:rPr>
        <w:t xml:space="preserve"> UTI</w:t>
      </w:r>
    </w:p>
    <w:p w14:paraId="42BCE211" w14:textId="77777777" w:rsidR="00DB11FF" w:rsidRDefault="004166D9" w:rsidP="00164A2E">
      <w:pPr>
        <w:spacing w:line="480" w:lineRule="auto"/>
        <w:jc w:val="both"/>
        <w:rPr>
          <w:sz w:val="24"/>
          <w:szCs w:val="24"/>
          <w:lang w:val="en-US"/>
        </w:rPr>
      </w:pPr>
      <w:r w:rsidRPr="00500CC9">
        <w:rPr>
          <w:sz w:val="24"/>
          <w:szCs w:val="24"/>
          <w:lang w:val="en-US"/>
        </w:rPr>
        <w:t xml:space="preserve">Despite on implemented numerous infection control measure and prevention strategies, such as mask wearing, adequate hand hygiene, social distance, rapid testing on COVID-19, avoiding the large crowd of people, the rates </w:t>
      </w:r>
      <w:r w:rsidRPr="00500CC9">
        <w:rPr>
          <w:bCs/>
          <w:sz w:val="24"/>
          <w:szCs w:val="24"/>
          <w:lang w:val="en-US"/>
        </w:rPr>
        <w:t>of antimicrobial resistance</w:t>
      </w:r>
      <w:r w:rsidRPr="00500CC9">
        <w:rPr>
          <w:sz w:val="24"/>
          <w:szCs w:val="24"/>
          <w:lang w:val="en-US"/>
        </w:rPr>
        <w:t xml:space="preserve"> are still increasing and </w:t>
      </w:r>
      <w:r w:rsidR="00864CD7" w:rsidRPr="00500CC9">
        <w:rPr>
          <w:bCs/>
          <w:sz w:val="24"/>
          <w:szCs w:val="24"/>
          <w:lang w:val="en-US"/>
        </w:rPr>
        <w:t>the increased</w:t>
      </w:r>
      <w:r w:rsidR="00864CD7" w:rsidRPr="00500CC9">
        <w:rPr>
          <w:sz w:val="24"/>
          <w:szCs w:val="24"/>
          <w:lang w:val="en-US"/>
        </w:rPr>
        <w:t xml:space="preserve"> e</w:t>
      </w:r>
      <w:r w:rsidR="00A37634" w:rsidRPr="00500CC9">
        <w:rPr>
          <w:sz w:val="24"/>
          <w:szCs w:val="24"/>
          <w:lang w:val="en-US"/>
        </w:rPr>
        <w:t xml:space="preserve">mergence of multi-drug resistant microorganisms </w:t>
      </w:r>
      <w:r w:rsidR="00864CD7" w:rsidRPr="00500CC9">
        <w:rPr>
          <w:bCs/>
          <w:sz w:val="24"/>
          <w:szCs w:val="24"/>
          <w:lang w:val="en-US"/>
        </w:rPr>
        <w:t xml:space="preserve">is representing </w:t>
      </w:r>
      <w:r w:rsidR="00A37634" w:rsidRPr="00500CC9">
        <w:rPr>
          <w:sz w:val="24"/>
          <w:szCs w:val="24"/>
          <w:lang w:val="en-US"/>
        </w:rPr>
        <w:t>a huge health public problem</w:t>
      </w:r>
      <w:r w:rsidR="0071148E" w:rsidRPr="00500CC9">
        <w:rPr>
          <w:sz w:val="24"/>
          <w:szCs w:val="24"/>
          <w:lang w:val="en-US"/>
        </w:rPr>
        <w:t xml:space="preserve"> during ongoing pandemic COVID-19</w:t>
      </w:r>
      <w:r w:rsidR="00A37634" w:rsidRPr="00500CC9">
        <w:rPr>
          <w:sz w:val="24"/>
          <w:szCs w:val="24"/>
          <w:lang w:val="en-US"/>
        </w:rPr>
        <w:t xml:space="preserve"> [28,29].</w:t>
      </w:r>
      <w:r w:rsidR="009510B9" w:rsidRPr="00500CC9">
        <w:rPr>
          <w:sz w:val="24"/>
          <w:szCs w:val="24"/>
          <w:lang w:val="en-US"/>
        </w:rPr>
        <w:t xml:space="preserve"> Above 70%</w:t>
      </w:r>
      <w:r w:rsidR="00E521AB">
        <w:rPr>
          <w:sz w:val="24"/>
          <w:szCs w:val="24"/>
          <w:lang w:val="en-US"/>
        </w:rPr>
        <w:t xml:space="preserve"> of</w:t>
      </w:r>
      <w:r w:rsidR="009510B9" w:rsidRPr="00500CC9">
        <w:rPr>
          <w:sz w:val="24"/>
          <w:szCs w:val="24"/>
          <w:lang w:val="en-US"/>
        </w:rPr>
        <w:t xml:space="preserve"> patients with COVID-19 received antibiotic</w:t>
      </w:r>
      <w:r w:rsidR="00864CD7" w:rsidRPr="00500CC9">
        <w:rPr>
          <w:sz w:val="24"/>
          <w:szCs w:val="24"/>
          <w:lang w:val="en-US"/>
        </w:rPr>
        <w:t xml:space="preserve"> </w:t>
      </w:r>
      <w:r w:rsidR="00864CD7" w:rsidRPr="00500CC9">
        <w:rPr>
          <w:bCs/>
          <w:sz w:val="24"/>
          <w:szCs w:val="24"/>
          <w:lang w:val="en-US"/>
        </w:rPr>
        <w:t>therapy</w:t>
      </w:r>
      <w:r w:rsidR="009510B9" w:rsidRPr="00500CC9">
        <w:rPr>
          <w:sz w:val="24"/>
          <w:szCs w:val="24"/>
          <w:lang w:val="en-US"/>
        </w:rPr>
        <w:t xml:space="preserve">; </w:t>
      </w:r>
      <w:r w:rsidR="00864CD7" w:rsidRPr="00500CC9">
        <w:rPr>
          <w:sz w:val="24"/>
          <w:szCs w:val="24"/>
          <w:lang w:val="en-US"/>
        </w:rPr>
        <w:t>however</w:t>
      </w:r>
      <w:r w:rsidR="00864CD7" w:rsidRPr="00500CC9">
        <w:rPr>
          <w:bCs/>
          <w:sz w:val="24"/>
          <w:szCs w:val="24"/>
          <w:lang w:val="en-US"/>
        </w:rPr>
        <w:t>,</w:t>
      </w:r>
      <w:r w:rsidR="009510B9" w:rsidRPr="00500CC9">
        <w:rPr>
          <w:bCs/>
          <w:sz w:val="24"/>
          <w:szCs w:val="24"/>
          <w:lang w:val="en-US"/>
        </w:rPr>
        <w:t xml:space="preserve"> </w:t>
      </w:r>
      <w:r w:rsidR="009510B9" w:rsidRPr="00500CC9">
        <w:rPr>
          <w:sz w:val="24"/>
          <w:szCs w:val="24"/>
          <w:lang w:val="en-US"/>
        </w:rPr>
        <w:t xml:space="preserve">the rates </w:t>
      </w:r>
      <w:r w:rsidR="009510B9" w:rsidRPr="00500CC9">
        <w:rPr>
          <w:bCs/>
          <w:sz w:val="24"/>
          <w:szCs w:val="24"/>
          <w:lang w:val="en-US"/>
        </w:rPr>
        <w:t xml:space="preserve">of </w:t>
      </w:r>
      <w:r w:rsidR="00CE58B6" w:rsidRPr="00500CC9">
        <w:rPr>
          <w:bCs/>
          <w:sz w:val="24"/>
          <w:szCs w:val="24"/>
          <w:lang w:val="en-US"/>
        </w:rPr>
        <w:t>microbiologically c</w:t>
      </w:r>
      <w:r w:rsidR="009510B9" w:rsidRPr="00500CC9">
        <w:rPr>
          <w:bCs/>
          <w:sz w:val="24"/>
          <w:szCs w:val="24"/>
          <w:lang w:val="en-US"/>
        </w:rPr>
        <w:t>onfirmed bacterial</w:t>
      </w:r>
      <w:r w:rsidR="009510B9" w:rsidRPr="00500CC9">
        <w:rPr>
          <w:sz w:val="24"/>
          <w:szCs w:val="24"/>
          <w:lang w:val="en-US"/>
        </w:rPr>
        <w:t xml:space="preserve"> co-infection did not exceed</w:t>
      </w:r>
      <w:r w:rsidR="006225F2" w:rsidRPr="00500CC9">
        <w:rPr>
          <w:sz w:val="24"/>
          <w:szCs w:val="24"/>
          <w:lang w:val="en-US"/>
        </w:rPr>
        <w:t xml:space="preserve"> 20-30%</w:t>
      </w:r>
      <w:r w:rsidR="00A262FC" w:rsidRPr="00500CC9">
        <w:rPr>
          <w:sz w:val="24"/>
          <w:szCs w:val="24"/>
          <w:lang w:val="en-US"/>
        </w:rPr>
        <w:t xml:space="preserve"> [30</w:t>
      </w:r>
      <w:r w:rsidR="00726458" w:rsidRPr="00500CC9">
        <w:rPr>
          <w:sz w:val="24"/>
          <w:szCs w:val="24"/>
          <w:lang w:val="en-US"/>
        </w:rPr>
        <w:t>, 31</w:t>
      </w:r>
      <w:r w:rsidR="00B22B79" w:rsidRPr="00500CC9">
        <w:rPr>
          <w:sz w:val="24"/>
          <w:szCs w:val="24"/>
          <w:lang w:val="en-US"/>
        </w:rPr>
        <w:t>].</w:t>
      </w:r>
      <w:r w:rsidR="00A262FC" w:rsidRPr="00500CC9">
        <w:rPr>
          <w:sz w:val="24"/>
          <w:szCs w:val="24"/>
          <w:lang w:val="en-US"/>
        </w:rPr>
        <w:t xml:space="preserve"> It is worthy </w:t>
      </w:r>
      <w:r w:rsidR="00CE58B6" w:rsidRPr="00500CC9">
        <w:rPr>
          <w:bCs/>
          <w:sz w:val="24"/>
          <w:szCs w:val="24"/>
          <w:lang w:val="en-US"/>
        </w:rPr>
        <w:t xml:space="preserve">to </w:t>
      </w:r>
      <w:r w:rsidR="00A262FC" w:rsidRPr="00500CC9">
        <w:rPr>
          <w:bCs/>
          <w:sz w:val="24"/>
          <w:szCs w:val="24"/>
          <w:lang w:val="en-US"/>
        </w:rPr>
        <w:t>note that</w:t>
      </w:r>
      <w:r w:rsidR="00CE58B6" w:rsidRPr="00500CC9">
        <w:rPr>
          <w:bCs/>
          <w:sz w:val="24"/>
          <w:szCs w:val="24"/>
          <w:lang w:val="en-US"/>
        </w:rPr>
        <w:t xml:space="preserve"> </w:t>
      </w:r>
      <w:r w:rsidR="00640DBE" w:rsidRPr="00500CC9">
        <w:rPr>
          <w:bCs/>
          <w:sz w:val="24"/>
          <w:szCs w:val="24"/>
          <w:lang w:val="en-US"/>
        </w:rPr>
        <w:t xml:space="preserve">57-64.3% </w:t>
      </w:r>
      <w:r w:rsidR="005302CF" w:rsidRPr="00500CC9">
        <w:rPr>
          <w:bCs/>
          <w:sz w:val="24"/>
          <w:szCs w:val="24"/>
          <w:lang w:val="en-US"/>
        </w:rPr>
        <w:t xml:space="preserve">of all </w:t>
      </w:r>
      <w:r w:rsidR="00F0328D" w:rsidRPr="00500CC9">
        <w:rPr>
          <w:bCs/>
          <w:sz w:val="24"/>
          <w:szCs w:val="24"/>
          <w:lang w:val="en-US"/>
        </w:rPr>
        <w:t>bacter</w:t>
      </w:r>
      <w:r w:rsidR="005302CF" w:rsidRPr="00500CC9">
        <w:rPr>
          <w:bCs/>
          <w:sz w:val="24"/>
          <w:szCs w:val="24"/>
          <w:lang w:val="en-US"/>
        </w:rPr>
        <w:t>ial coin</w:t>
      </w:r>
      <w:r w:rsidR="00F0328D" w:rsidRPr="00500CC9">
        <w:rPr>
          <w:bCs/>
          <w:sz w:val="24"/>
          <w:szCs w:val="24"/>
          <w:lang w:val="en-US"/>
        </w:rPr>
        <w:t>fection</w:t>
      </w:r>
      <w:r w:rsidR="00726458" w:rsidRPr="00500CC9">
        <w:rPr>
          <w:bCs/>
          <w:sz w:val="24"/>
          <w:szCs w:val="24"/>
          <w:lang w:val="en-US"/>
        </w:rPr>
        <w:t>s</w:t>
      </w:r>
      <w:r w:rsidR="00373059" w:rsidRPr="00500CC9">
        <w:rPr>
          <w:bCs/>
          <w:sz w:val="24"/>
          <w:szCs w:val="24"/>
          <w:lang w:val="en-US"/>
        </w:rPr>
        <w:t xml:space="preserve"> in patients</w:t>
      </w:r>
      <w:r w:rsidR="00FE7440" w:rsidRPr="00500CC9">
        <w:rPr>
          <w:bCs/>
          <w:sz w:val="24"/>
          <w:szCs w:val="24"/>
          <w:lang w:val="en-US"/>
        </w:rPr>
        <w:t xml:space="preserve"> </w:t>
      </w:r>
      <w:r w:rsidR="00CE58B6" w:rsidRPr="00500CC9">
        <w:rPr>
          <w:bCs/>
          <w:sz w:val="24"/>
          <w:szCs w:val="24"/>
          <w:lang w:val="en-US"/>
        </w:rPr>
        <w:t xml:space="preserve">affected by </w:t>
      </w:r>
      <w:r w:rsidR="00FE7440" w:rsidRPr="00500CC9">
        <w:rPr>
          <w:bCs/>
          <w:sz w:val="24"/>
          <w:szCs w:val="24"/>
          <w:lang w:val="en-US"/>
        </w:rPr>
        <w:t>SARS-CoV-</w:t>
      </w:r>
      <w:r w:rsidR="00373059" w:rsidRPr="00500CC9">
        <w:rPr>
          <w:bCs/>
          <w:sz w:val="24"/>
          <w:szCs w:val="24"/>
          <w:lang w:val="en-US"/>
        </w:rPr>
        <w:t xml:space="preserve">2 </w:t>
      </w:r>
      <w:r w:rsidR="00CE58B6" w:rsidRPr="00500CC9">
        <w:rPr>
          <w:bCs/>
          <w:sz w:val="24"/>
          <w:szCs w:val="24"/>
          <w:lang w:val="en-US"/>
        </w:rPr>
        <w:t xml:space="preserve">are localized in the genitourinary tract </w:t>
      </w:r>
      <w:r w:rsidR="00373059" w:rsidRPr="00500CC9">
        <w:rPr>
          <w:sz w:val="24"/>
          <w:szCs w:val="24"/>
          <w:lang w:val="en-US"/>
        </w:rPr>
        <w:t>[</w:t>
      </w:r>
      <w:r w:rsidR="00640DBE" w:rsidRPr="00500CC9">
        <w:rPr>
          <w:sz w:val="24"/>
          <w:szCs w:val="24"/>
          <w:lang w:val="en-US"/>
        </w:rPr>
        <w:t>32</w:t>
      </w:r>
      <w:proofErr w:type="gramStart"/>
      <w:r w:rsidR="00640DBE" w:rsidRPr="00500CC9">
        <w:rPr>
          <w:sz w:val="24"/>
          <w:szCs w:val="24"/>
          <w:lang w:val="en-US"/>
        </w:rPr>
        <w:t>,33</w:t>
      </w:r>
      <w:proofErr w:type="gramEnd"/>
      <w:r w:rsidR="00640DBE" w:rsidRPr="00500CC9">
        <w:rPr>
          <w:sz w:val="24"/>
          <w:szCs w:val="24"/>
          <w:lang w:val="en-US"/>
        </w:rPr>
        <w:t>]</w:t>
      </w:r>
      <w:r w:rsidR="00A262FC" w:rsidRPr="00500CC9">
        <w:rPr>
          <w:sz w:val="24"/>
          <w:szCs w:val="24"/>
          <w:lang w:val="en-US"/>
        </w:rPr>
        <w:t>.</w:t>
      </w:r>
      <w:r w:rsidR="00D36C26" w:rsidRPr="00500CC9">
        <w:rPr>
          <w:sz w:val="24"/>
          <w:szCs w:val="24"/>
          <w:lang w:val="en-US"/>
        </w:rPr>
        <w:t xml:space="preserve"> </w:t>
      </w:r>
      <w:r w:rsidR="00177ABA" w:rsidRPr="00500CC9">
        <w:rPr>
          <w:sz w:val="24"/>
          <w:szCs w:val="24"/>
          <w:lang w:val="en-US"/>
        </w:rPr>
        <w:t xml:space="preserve">During pandemic COVID-19, both </w:t>
      </w:r>
      <w:r w:rsidR="001B0132" w:rsidRPr="00500CC9">
        <w:rPr>
          <w:bCs/>
          <w:sz w:val="24"/>
          <w:szCs w:val="24"/>
          <w:lang w:val="en-US"/>
        </w:rPr>
        <w:t>in</w:t>
      </w:r>
      <w:r w:rsidR="001B0132" w:rsidRPr="00500CC9">
        <w:rPr>
          <w:sz w:val="24"/>
          <w:szCs w:val="24"/>
          <w:lang w:val="en-US"/>
        </w:rPr>
        <w:t xml:space="preserve"> </w:t>
      </w:r>
      <w:r w:rsidR="00177ABA" w:rsidRPr="00500CC9">
        <w:rPr>
          <w:sz w:val="24"/>
          <w:szCs w:val="24"/>
          <w:lang w:val="en-US"/>
        </w:rPr>
        <w:t>non-ICU and ICU settings</w:t>
      </w:r>
      <w:r w:rsidR="00DF6E80" w:rsidRPr="00500CC9">
        <w:rPr>
          <w:sz w:val="24"/>
          <w:szCs w:val="24"/>
          <w:lang w:val="en-US"/>
        </w:rPr>
        <w:t xml:space="preserve">, </w:t>
      </w:r>
      <w:r w:rsidR="00DF6E80" w:rsidRPr="00500CC9">
        <w:rPr>
          <w:bCs/>
          <w:sz w:val="24"/>
          <w:szCs w:val="24"/>
          <w:lang w:val="en-US"/>
        </w:rPr>
        <w:t>clinicians</w:t>
      </w:r>
      <w:r w:rsidR="00D36C26" w:rsidRPr="00500CC9">
        <w:rPr>
          <w:bCs/>
          <w:sz w:val="24"/>
          <w:szCs w:val="24"/>
          <w:lang w:val="en-US"/>
        </w:rPr>
        <w:t xml:space="preserve"> </w:t>
      </w:r>
      <w:r w:rsidR="001B0132" w:rsidRPr="00500CC9">
        <w:rPr>
          <w:bCs/>
          <w:sz w:val="24"/>
          <w:szCs w:val="24"/>
          <w:lang w:val="en-US"/>
        </w:rPr>
        <w:t xml:space="preserve">used </w:t>
      </w:r>
      <w:r w:rsidR="00D36C26" w:rsidRPr="00500CC9">
        <w:rPr>
          <w:bCs/>
          <w:sz w:val="24"/>
          <w:szCs w:val="24"/>
          <w:lang w:val="en-US"/>
        </w:rPr>
        <w:t xml:space="preserve">for </w:t>
      </w:r>
      <w:r w:rsidR="001B0132" w:rsidRPr="00500CC9">
        <w:rPr>
          <w:bCs/>
          <w:sz w:val="24"/>
          <w:szCs w:val="24"/>
          <w:lang w:val="en-US"/>
        </w:rPr>
        <w:t xml:space="preserve">the </w:t>
      </w:r>
      <w:r w:rsidR="00D36C26" w:rsidRPr="00500CC9">
        <w:rPr>
          <w:bCs/>
          <w:sz w:val="24"/>
          <w:szCs w:val="24"/>
          <w:lang w:val="en-US"/>
        </w:rPr>
        <w:t xml:space="preserve">treatment </w:t>
      </w:r>
      <w:r w:rsidR="001B0132" w:rsidRPr="00500CC9">
        <w:rPr>
          <w:bCs/>
          <w:sz w:val="24"/>
          <w:szCs w:val="24"/>
          <w:lang w:val="en-US"/>
        </w:rPr>
        <w:t xml:space="preserve">of </w:t>
      </w:r>
      <w:r w:rsidR="00D36C26" w:rsidRPr="00500CC9">
        <w:rPr>
          <w:bCs/>
          <w:sz w:val="24"/>
          <w:szCs w:val="24"/>
          <w:lang w:val="en-US"/>
        </w:rPr>
        <w:t>secondary bacterial co-infection</w:t>
      </w:r>
      <w:r w:rsidR="00381671" w:rsidRPr="00500CC9">
        <w:rPr>
          <w:bCs/>
          <w:sz w:val="24"/>
          <w:szCs w:val="24"/>
          <w:lang w:val="en-US"/>
        </w:rPr>
        <w:t xml:space="preserve"> </w:t>
      </w:r>
      <w:r w:rsidR="00D36C26" w:rsidRPr="00500CC9">
        <w:rPr>
          <w:bCs/>
          <w:sz w:val="24"/>
          <w:szCs w:val="24"/>
          <w:lang w:val="en-US"/>
        </w:rPr>
        <w:t>following</w:t>
      </w:r>
      <w:r w:rsidR="00177ABA" w:rsidRPr="00500CC9">
        <w:rPr>
          <w:bCs/>
          <w:sz w:val="24"/>
          <w:szCs w:val="24"/>
          <w:lang w:val="en-US"/>
        </w:rPr>
        <w:t xml:space="preserve"> antibiotics:</w:t>
      </w:r>
      <w:r w:rsidR="000C7F4E" w:rsidRPr="00500CC9">
        <w:rPr>
          <w:sz w:val="24"/>
          <w:szCs w:val="24"/>
          <w:lang w:val="en-US"/>
        </w:rPr>
        <w:t xml:space="preserve"> </w:t>
      </w:r>
      <w:proofErr w:type="spellStart"/>
      <w:r w:rsidR="000C7F4E" w:rsidRPr="00500CC9">
        <w:rPr>
          <w:sz w:val="24"/>
          <w:szCs w:val="24"/>
          <w:lang w:val="en-US"/>
        </w:rPr>
        <w:t>teicoplanin</w:t>
      </w:r>
      <w:proofErr w:type="spellEnd"/>
      <w:r w:rsidR="000C7F4E" w:rsidRPr="00500CC9">
        <w:rPr>
          <w:sz w:val="24"/>
          <w:szCs w:val="24"/>
          <w:lang w:val="en-US"/>
        </w:rPr>
        <w:t xml:space="preserve">, clarithromycin, doxycycline, azithromycin, </w:t>
      </w:r>
      <w:proofErr w:type="spellStart"/>
      <w:r w:rsidR="000C7F4E" w:rsidRPr="00500CC9">
        <w:rPr>
          <w:sz w:val="24"/>
          <w:szCs w:val="24"/>
          <w:lang w:val="en-US"/>
        </w:rPr>
        <w:t>tetracyclines</w:t>
      </w:r>
      <w:proofErr w:type="spellEnd"/>
      <w:r w:rsidR="000C7F4E" w:rsidRPr="00500CC9">
        <w:rPr>
          <w:sz w:val="24"/>
          <w:szCs w:val="24"/>
          <w:lang w:val="en-US"/>
        </w:rPr>
        <w:t xml:space="preserve">, levofloxacin, </w:t>
      </w:r>
      <w:proofErr w:type="spellStart"/>
      <w:r w:rsidR="000C7F4E" w:rsidRPr="00500CC9">
        <w:rPr>
          <w:sz w:val="24"/>
          <w:szCs w:val="24"/>
          <w:lang w:val="en-US"/>
        </w:rPr>
        <w:t>moxifloxacin</w:t>
      </w:r>
      <w:proofErr w:type="spellEnd"/>
      <w:r w:rsidR="000C7F4E" w:rsidRPr="00500CC9">
        <w:rPr>
          <w:sz w:val="24"/>
          <w:szCs w:val="24"/>
          <w:lang w:val="en-US"/>
        </w:rPr>
        <w:t xml:space="preserve">, ciprofloxacin, and </w:t>
      </w:r>
      <w:proofErr w:type="spellStart"/>
      <w:r w:rsidR="000C7F4E" w:rsidRPr="00500CC9">
        <w:rPr>
          <w:sz w:val="24"/>
          <w:szCs w:val="24"/>
          <w:lang w:val="en-US"/>
        </w:rPr>
        <w:lastRenderedPageBreak/>
        <w:t>cephalosporins</w:t>
      </w:r>
      <w:proofErr w:type="spellEnd"/>
      <w:r w:rsidR="000C7F4E" w:rsidRPr="00500CC9">
        <w:rPr>
          <w:sz w:val="24"/>
          <w:szCs w:val="24"/>
          <w:lang w:val="en-US"/>
        </w:rPr>
        <w:t xml:space="preserve"> 3d generation</w:t>
      </w:r>
      <w:r w:rsidR="00746602" w:rsidRPr="00500CC9">
        <w:rPr>
          <w:sz w:val="24"/>
          <w:szCs w:val="24"/>
          <w:lang w:val="en-US"/>
        </w:rPr>
        <w:t xml:space="preserve">. In </w:t>
      </w:r>
      <w:r w:rsidR="00E521AB">
        <w:rPr>
          <w:sz w:val="24"/>
          <w:szCs w:val="24"/>
          <w:lang w:val="en-US"/>
        </w:rPr>
        <w:t xml:space="preserve">a </w:t>
      </w:r>
      <w:proofErr w:type="spellStart"/>
      <w:r w:rsidR="00746602" w:rsidRPr="00500CC9">
        <w:rPr>
          <w:sz w:val="24"/>
          <w:szCs w:val="24"/>
          <w:lang w:val="en-US"/>
        </w:rPr>
        <w:t>monocenter</w:t>
      </w:r>
      <w:proofErr w:type="spellEnd"/>
      <w:r w:rsidR="00746602" w:rsidRPr="00500CC9">
        <w:rPr>
          <w:sz w:val="24"/>
          <w:szCs w:val="24"/>
          <w:lang w:val="en-US"/>
        </w:rPr>
        <w:t xml:space="preserve">, retrospective study, </w:t>
      </w:r>
      <w:r w:rsidR="001B0132" w:rsidRPr="00500CC9">
        <w:rPr>
          <w:bCs/>
          <w:sz w:val="24"/>
          <w:szCs w:val="24"/>
          <w:lang w:val="en-US"/>
        </w:rPr>
        <w:t xml:space="preserve">third generation </w:t>
      </w:r>
      <w:proofErr w:type="spellStart"/>
      <w:r w:rsidR="00746602" w:rsidRPr="00500CC9">
        <w:rPr>
          <w:sz w:val="24"/>
          <w:szCs w:val="24"/>
          <w:lang w:val="en-US"/>
        </w:rPr>
        <w:t>cephalosporins</w:t>
      </w:r>
      <w:proofErr w:type="spellEnd"/>
      <w:r w:rsidR="00746602" w:rsidRPr="00500CC9">
        <w:rPr>
          <w:sz w:val="24"/>
          <w:szCs w:val="24"/>
          <w:lang w:val="en-US"/>
        </w:rPr>
        <w:t xml:space="preserve"> and </w:t>
      </w:r>
      <w:proofErr w:type="spellStart"/>
      <w:r w:rsidR="00746602" w:rsidRPr="00500CC9">
        <w:rPr>
          <w:sz w:val="24"/>
          <w:szCs w:val="24"/>
          <w:lang w:val="en-US"/>
        </w:rPr>
        <w:t>amoxiclav</w:t>
      </w:r>
      <w:proofErr w:type="spellEnd"/>
      <w:r w:rsidR="00746602" w:rsidRPr="00500CC9">
        <w:rPr>
          <w:sz w:val="24"/>
          <w:szCs w:val="24"/>
          <w:lang w:val="en-US"/>
        </w:rPr>
        <w:t xml:space="preserve"> </w:t>
      </w:r>
      <w:r w:rsidR="00A46C15" w:rsidRPr="00500CC9">
        <w:rPr>
          <w:bCs/>
          <w:sz w:val="24"/>
          <w:szCs w:val="24"/>
          <w:lang w:val="en-US"/>
        </w:rPr>
        <w:t>represented the most used</w:t>
      </w:r>
      <w:r w:rsidR="00746602" w:rsidRPr="00500CC9">
        <w:rPr>
          <w:bCs/>
          <w:sz w:val="24"/>
          <w:szCs w:val="24"/>
          <w:lang w:val="en-US"/>
        </w:rPr>
        <w:t xml:space="preserve"> antibiotics in patients</w:t>
      </w:r>
      <w:r w:rsidR="005E0C94" w:rsidRPr="00500CC9">
        <w:rPr>
          <w:bCs/>
          <w:sz w:val="24"/>
          <w:szCs w:val="24"/>
          <w:lang w:val="en-US"/>
        </w:rPr>
        <w:t xml:space="preserve"> w</w:t>
      </w:r>
      <w:r w:rsidR="00640DBE" w:rsidRPr="00500CC9">
        <w:rPr>
          <w:bCs/>
          <w:sz w:val="24"/>
          <w:szCs w:val="24"/>
          <w:lang w:val="en-US"/>
        </w:rPr>
        <w:t>ith COVID-19 admitted to ICU</w:t>
      </w:r>
      <w:r w:rsidR="00640DBE" w:rsidRPr="00500CC9">
        <w:rPr>
          <w:sz w:val="24"/>
          <w:szCs w:val="24"/>
          <w:lang w:val="en-US"/>
        </w:rPr>
        <w:t xml:space="preserve"> [34</w:t>
      </w:r>
      <w:r w:rsidR="005E0C94" w:rsidRPr="00500CC9">
        <w:rPr>
          <w:sz w:val="24"/>
          <w:szCs w:val="24"/>
          <w:lang w:val="en-US"/>
        </w:rPr>
        <w:t>].</w:t>
      </w:r>
      <w:r w:rsidR="00A7378E" w:rsidRPr="00500CC9">
        <w:rPr>
          <w:sz w:val="24"/>
          <w:szCs w:val="24"/>
          <w:lang w:val="en-US"/>
        </w:rPr>
        <w:t xml:space="preserve"> </w:t>
      </w:r>
      <w:r w:rsidR="000F20F5" w:rsidRPr="00500CC9">
        <w:rPr>
          <w:sz w:val="24"/>
          <w:szCs w:val="24"/>
          <w:lang w:val="en-US"/>
        </w:rPr>
        <w:t>T</w:t>
      </w:r>
      <w:r w:rsidR="00017766" w:rsidRPr="00500CC9">
        <w:rPr>
          <w:sz w:val="24"/>
          <w:szCs w:val="24"/>
          <w:lang w:val="en-US"/>
        </w:rPr>
        <w:t>he</w:t>
      </w:r>
      <w:r w:rsidR="000F20F5" w:rsidRPr="00500CC9">
        <w:rPr>
          <w:sz w:val="24"/>
          <w:szCs w:val="24"/>
          <w:lang w:val="en-US"/>
        </w:rPr>
        <w:t xml:space="preserve"> study conducted</w:t>
      </w:r>
      <w:r w:rsidR="00A05560" w:rsidRPr="00500CC9">
        <w:rPr>
          <w:sz w:val="24"/>
          <w:szCs w:val="24"/>
          <w:lang w:val="en-US"/>
        </w:rPr>
        <w:t xml:space="preserve"> in</w:t>
      </w:r>
      <w:r w:rsidR="00017766" w:rsidRPr="00500CC9">
        <w:rPr>
          <w:sz w:val="24"/>
          <w:szCs w:val="24"/>
          <w:lang w:val="en-US"/>
        </w:rPr>
        <w:t xml:space="preserve"> </w:t>
      </w:r>
      <w:proofErr w:type="spellStart"/>
      <w:r w:rsidR="00017766" w:rsidRPr="00500CC9">
        <w:rPr>
          <w:sz w:val="24"/>
          <w:szCs w:val="24"/>
          <w:lang w:val="en-US"/>
        </w:rPr>
        <w:t>Cipto</w:t>
      </w:r>
      <w:proofErr w:type="spellEnd"/>
      <w:r w:rsidR="00017766" w:rsidRPr="00500CC9">
        <w:rPr>
          <w:sz w:val="24"/>
          <w:szCs w:val="24"/>
          <w:lang w:val="en-US"/>
        </w:rPr>
        <w:t xml:space="preserve"> </w:t>
      </w:r>
      <w:proofErr w:type="spellStart"/>
      <w:r w:rsidR="00017766" w:rsidRPr="00500CC9">
        <w:rPr>
          <w:sz w:val="24"/>
          <w:szCs w:val="24"/>
          <w:lang w:val="en-US"/>
        </w:rPr>
        <w:t>Mangunkusumo</w:t>
      </w:r>
      <w:proofErr w:type="spellEnd"/>
      <w:r w:rsidR="00017766" w:rsidRPr="00500CC9">
        <w:rPr>
          <w:sz w:val="24"/>
          <w:szCs w:val="24"/>
          <w:lang w:val="en-US"/>
        </w:rPr>
        <w:t xml:space="preserve"> Hospital</w:t>
      </w:r>
      <w:r w:rsidR="00A05560" w:rsidRPr="00500CC9">
        <w:rPr>
          <w:sz w:val="24"/>
          <w:szCs w:val="24"/>
          <w:lang w:val="en-US"/>
        </w:rPr>
        <w:t xml:space="preserve"> showed that</w:t>
      </w:r>
      <w:r w:rsidR="00A7378E" w:rsidRPr="00500CC9">
        <w:rPr>
          <w:sz w:val="24"/>
          <w:szCs w:val="24"/>
          <w:lang w:val="en-US"/>
        </w:rPr>
        <w:t xml:space="preserve"> </w:t>
      </w:r>
      <w:r w:rsidR="00017766" w:rsidRPr="00500CC9">
        <w:rPr>
          <w:sz w:val="24"/>
          <w:szCs w:val="24"/>
          <w:lang w:val="en-US"/>
        </w:rPr>
        <w:t>the antibio</w:t>
      </w:r>
      <w:r w:rsidR="00A05560" w:rsidRPr="00500CC9">
        <w:rPr>
          <w:sz w:val="24"/>
          <w:szCs w:val="24"/>
          <w:lang w:val="en-US"/>
        </w:rPr>
        <w:t>tic</w:t>
      </w:r>
      <w:r w:rsidR="002C1EC2" w:rsidRPr="00500CC9">
        <w:rPr>
          <w:sz w:val="24"/>
          <w:szCs w:val="24"/>
          <w:lang w:val="en-US"/>
        </w:rPr>
        <w:t>s</w:t>
      </w:r>
      <w:r w:rsidR="00017766" w:rsidRPr="00500CC9">
        <w:rPr>
          <w:sz w:val="24"/>
          <w:szCs w:val="24"/>
          <w:lang w:val="en-US"/>
        </w:rPr>
        <w:t xml:space="preserve"> </w:t>
      </w:r>
      <w:proofErr w:type="gramStart"/>
      <w:r w:rsidR="002C1EC2" w:rsidRPr="00500CC9">
        <w:rPr>
          <w:sz w:val="24"/>
          <w:szCs w:val="24"/>
          <w:lang w:val="en-US"/>
        </w:rPr>
        <w:t xml:space="preserve">were </w:t>
      </w:r>
      <w:r w:rsidR="00856A59" w:rsidRPr="00500CC9">
        <w:rPr>
          <w:bCs/>
          <w:sz w:val="24"/>
          <w:szCs w:val="24"/>
          <w:lang w:val="en-US"/>
        </w:rPr>
        <w:t>prescr</w:t>
      </w:r>
      <w:r w:rsidR="002C1EC2" w:rsidRPr="00500CC9">
        <w:rPr>
          <w:bCs/>
          <w:sz w:val="24"/>
          <w:szCs w:val="24"/>
          <w:lang w:val="en-US"/>
        </w:rPr>
        <w:t>ibed</w:t>
      </w:r>
      <w:proofErr w:type="gramEnd"/>
      <w:r w:rsidR="002C1EC2" w:rsidRPr="00500CC9">
        <w:rPr>
          <w:sz w:val="24"/>
          <w:szCs w:val="24"/>
          <w:lang w:val="en-US"/>
        </w:rPr>
        <w:t xml:space="preserve"> to</w:t>
      </w:r>
      <w:r w:rsidR="00856A59" w:rsidRPr="00500CC9">
        <w:rPr>
          <w:sz w:val="24"/>
          <w:szCs w:val="24"/>
          <w:lang w:val="en-US"/>
        </w:rPr>
        <w:t xml:space="preserve"> </w:t>
      </w:r>
      <w:r w:rsidR="00897502" w:rsidRPr="00500CC9">
        <w:rPr>
          <w:sz w:val="24"/>
          <w:szCs w:val="24"/>
          <w:lang w:val="en-US"/>
        </w:rPr>
        <w:t>82.4%</w:t>
      </w:r>
      <w:r w:rsidR="00856A59" w:rsidRPr="00500CC9">
        <w:rPr>
          <w:sz w:val="24"/>
          <w:szCs w:val="24"/>
          <w:lang w:val="en-US"/>
        </w:rPr>
        <w:t xml:space="preserve"> </w:t>
      </w:r>
      <w:r w:rsidR="002C1EC2" w:rsidRPr="00500CC9">
        <w:rPr>
          <w:bCs/>
          <w:sz w:val="24"/>
          <w:szCs w:val="24"/>
          <w:lang w:val="en-US"/>
        </w:rPr>
        <w:t xml:space="preserve">of the </w:t>
      </w:r>
      <w:r w:rsidR="00897502" w:rsidRPr="00500CC9">
        <w:rPr>
          <w:bCs/>
          <w:sz w:val="24"/>
          <w:szCs w:val="24"/>
          <w:lang w:val="en-US"/>
        </w:rPr>
        <w:t>patients</w:t>
      </w:r>
      <w:r w:rsidR="00897502" w:rsidRPr="00500CC9">
        <w:rPr>
          <w:sz w:val="24"/>
          <w:szCs w:val="24"/>
          <w:lang w:val="en-US"/>
        </w:rPr>
        <w:t xml:space="preserve"> with SARS-CoV-2</w:t>
      </w:r>
      <w:r w:rsidR="002C1EC2" w:rsidRPr="00500CC9">
        <w:rPr>
          <w:sz w:val="24"/>
          <w:szCs w:val="24"/>
          <w:lang w:val="en-US"/>
        </w:rPr>
        <w:t xml:space="preserve">, </w:t>
      </w:r>
      <w:r w:rsidR="001A3193" w:rsidRPr="00500CC9">
        <w:rPr>
          <w:sz w:val="24"/>
          <w:szCs w:val="24"/>
          <w:lang w:val="en-US"/>
        </w:rPr>
        <w:t>and</w:t>
      </w:r>
      <w:r w:rsidR="00897502" w:rsidRPr="00500CC9">
        <w:rPr>
          <w:sz w:val="24"/>
          <w:szCs w:val="24"/>
          <w:lang w:val="en-US"/>
        </w:rPr>
        <w:t xml:space="preserve"> macrolides, </w:t>
      </w:r>
      <w:proofErr w:type="spellStart"/>
      <w:r w:rsidR="00897502" w:rsidRPr="00500CC9">
        <w:rPr>
          <w:sz w:val="24"/>
          <w:szCs w:val="24"/>
          <w:lang w:val="en-US"/>
        </w:rPr>
        <w:t>cephalosporins</w:t>
      </w:r>
      <w:proofErr w:type="spellEnd"/>
      <w:r w:rsidR="00897502" w:rsidRPr="00500CC9">
        <w:rPr>
          <w:sz w:val="24"/>
          <w:szCs w:val="24"/>
          <w:lang w:val="en-US"/>
        </w:rPr>
        <w:t>, and quinolones</w:t>
      </w:r>
      <w:r w:rsidR="00FC04E2" w:rsidRPr="00500CC9">
        <w:rPr>
          <w:sz w:val="24"/>
          <w:szCs w:val="24"/>
          <w:lang w:val="en-US"/>
        </w:rPr>
        <w:t xml:space="preserve"> </w:t>
      </w:r>
      <w:r w:rsidR="001A3193" w:rsidRPr="00500CC9">
        <w:rPr>
          <w:bCs/>
          <w:sz w:val="24"/>
          <w:szCs w:val="24"/>
          <w:lang w:val="en-US"/>
        </w:rPr>
        <w:t>were</w:t>
      </w:r>
      <w:r w:rsidR="001A3193" w:rsidRPr="00500CC9">
        <w:rPr>
          <w:sz w:val="24"/>
          <w:szCs w:val="24"/>
          <w:lang w:val="en-US"/>
        </w:rPr>
        <w:t xml:space="preserve"> </w:t>
      </w:r>
      <w:r w:rsidR="00897502" w:rsidRPr="00500CC9">
        <w:rPr>
          <w:sz w:val="24"/>
          <w:szCs w:val="24"/>
          <w:lang w:val="en-US"/>
        </w:rPr>
        <w:t>administered in 33%, 25% and 17%</w:t>
      </w:r>
      <w:r w:rsidR="00AB1290" w:rsidRPr="00500CC9">
        <w:rPr>
          <w:sz w:val="24"/>
          <w:szCs w:val="24"/>
          <w:lang w:val="en-US"/>
        </w:rPr>
        <w:t xml:space="preserve"> </w:t>
      </w:r>
      <w:r w:rsidR="001A3193" w:rsidRPr="00500CC9">
        <w:rPr>
          <w:bCs/>
          <w:sz w:val="24"/>
          <w:szCs w:val="24"/>
          <w:lang w:val="en-US"/>
        </w:rPr>
        <w:t xml:space="preserve">of the </w:t>
      </w:r>
      <w:r w:rsidR="00AB1290" w:rsidRPr="00500CC9">
        <w:rPr>
          <w:bCs/>
          <w:sz w:val="24"/>
          <w:szCs w:val="24"/>
          <w:lang w:val="en-US"/>
        </w:rPr>
        <w:t>cases</w:t>
      </w:r>
      <w:r w:rsidR="00AB1290" w:rsidRPr="00500CC9">
        <w:rPr>
          <w:sz w:val="24"/>
          <w:szCs w:val="24"/>
          <w:lang w:val="en-US"/>
        </w:rPr>
        <w:t>, respectively</w:t>
      </w:r>
      <w:r w:rsidR="00897502" w:rsidRPr="00500CC9">
        <w:rPr>
          <w:sz w:val="24"/>
          <w:szCs w:val="24"/>
          <w:lang w:val="en-US"/>
        </w:rPr>
        <w:t>.</w:t>
      </w:r>
      <w:r w:rsidR="00AB1290" w:rsidRPr="00500CC9">
        <w:rPr>
          <w:sz w:val="24"/>
          <w:szCs w:val="24"/>
          <w:lang w:val="en-US"/>
        </w:rPr>
        <w:t xml:space="preserve"> </w:t>
      </w:r>
      <w:r w:rsidR="001A3193" w:rsidRPr="00500CC9">
        <w:rPr>
          <w:bCs/>
          <w:sz w:val="24"/>
          <w:szCs w:val="24"/>
          <w:lang w:val="en-US"/>
        </w:rPr>
        <w:t xml:space="preserve">Furthermore, </w:t>
      </w:r>
      <w:r w:rsidR="00A05560" w:rsidRPr="00500CC9">
        <w:rPr>
          <w:bCs/>
          <w:sz w:val="24"/>
          <w:szCs w:val="24"/>
          <w:lang w:val="en-US"/>
        </w:rPr>
        <w:t xml:space="preserve">azithromycin, </w:t>
      </w:r>
      <w:r w:rsidR="006C0CB6" w:rsidRPr="00500CC9">
        <w:rPr>
          <w:bCs/>
          <w:sz w:val="24"/>
          <w:szCs w:val="24"/>
          <w:lang w:val="en-US"/>
        </w:rPr>
        <w:t xml:space="preserve">ceftriaxone, </w:t>
      </w:r>
      <w:proofErr w:type="spellStart"/>
      <w:r w:rsidR="006C0CB6" w:rsidRPr="00500CC9">
        <w:rPr>
          <w:bCs/>
          <w:sz w:val="24"/>
          <w:szCs w:val="24"/>
          <w:lang w:val="en-US"/>
        </w:rPr>
        <w:t>cefotaxime</w:t>
      </w:r>
      <w:proofErr w:type="spellEnd"/>
      <w:r w:rsidR="006C0CB6" w:rsidRPr="00500CC9">
        <w:rPr>
          <w:bCs/>
          <w:sz w:val="24"/>
          <w:szCs w:val="24"/>
          <w:lang w:val="en-US"/>
        </w:rPr>
        <w:t xml:space="preserve">, </w:t>
      </w:r>
      <w:proofErr w:type="spellStart"/>
      <w:r w:rsidR="00A05560" w:rsidRPr="00500CC9">
        <w:rPr>
          <w:bCs/>
          <w:sz w:val="24"/>
          <w:szCs w:val="24"/>
          <w:lang w:val="en-US"/>
        </w:rPr>
        <w:t>cefoperazone</w:t>
      </w:r>
      <w:proofErr w:type="spellEnd"/>
      <w:r w:rsidR="006C0CB6" w:rsidRPr="00500CC9">
        <w:rPr>
          <w:bCs/>
          <w:sz w:val="24"/>
          <w:szCs w:val="24"/>
          <w:lang w:val="en-US"/>
        </w:rPr>
        <w:t>,</w:t>
      </w:r>
      <w:r w:rsidR="00A05560" w:rsidRPr="00500CC9">
        <w:rPr>
          <w:bCs/>
          <w:sz w:val="24"/>
          <w:szCs w:val="24"/>
          <w:lang w:val="en-US"/>
        </w:rPr>
        <w:t xml:space="preserve"> levofloxacin and </w:t>
      </w:r>
      <w:proofErr w:type="spellStart"/>
      <w:r w:rsidR="00A05560" w:rsidRPr="00500CC9">
        <w:rPr>
          <w:bCs/>
          <w:sz w:val="24"/>
          <w:szCs w:val="24"/>
          <w:lang w:val="en-US"/>
        </w:rPr>
        <w:t>moxifloxacin</w:t>
      </w:r>
      <w:proofErr w:type="spellEnd"/>
      <w:r w:rsidR="00A05560" w:rsidRPr="00500CC9">
        <w:rPr>
          <w:bCs/>
          <w:sz w:val="24"/>
          <w:szCs w:val="24"/>
          <w:lang w:val="en-US"/>
        </w:rPr>
        <w:t xml:space="preserve"> </w:t>
      </w:r>
      <w:r w:rsidR="001A3193" w:rsidRPr="00500CC9">
        <w:rPr>
          <w:bCs/>
          <w:sz w:val="24"/>
          <w:szCs w:val="24"/>
          <w:lang w:val="en-US"/>
        </w:rPr>
        <w:t>represented the most used therapy</w:t>
      </w:r>
      <w:r w:rsidR="001A3193" w:rsidRPr="00500CC9">
        <w:rPr>
          <w:sz w:val="24"/>
          <w:szCs w:val="24"/>
          <w:lang w:val="en-US"/>
        </w:rPr>
        <w:t xml:space="preserve"> </w:t>
      </w:r>
      <w:r w:rsidR="00640DBE" w:rsidRPr="00500CC9">
        <w:rPr>
          <w:sz w:val="24"/>
          <w:szCs w:val="24"/>
          <w:lang w:val="en-US"/>
        </w:rPr>
        <w:t>[35</w:t>
      </w:r>
      <w:r w:rsidR="00897502" w:rsidRPr="00500CC9">
        <w:rPr>
          <w:sz w:val="24"/>
          <w:szCs w:val="24"/>
          <w:lang w:val="en-US"/>
        </w:rPr>
        <w:t>].</w:t>
      </w:r>
      <w:r w:rsidR="004C5D5E" w:rsidRPr="00500CC9">
        <w:rPr>
          <w:sz w:val="24"/>
          <w:szCs w:val="24"/>
          <w:lang w:val="en-US"/>
        </w:rPr>
        <w:t xml:space="preserve"> </w:t>
      </w:r>
      <w:r w:rsidR="00AB1290" w:rsidRPr="00500CC9">
        <w:rPr>
          <w:sz w:val="24"/>
          <w:szCs w:val="24"/>
          <w:lang w:val="en-US"/>
        </w:rPr>
        <w:t xml:space="preserve">In one study, </w:t>
      </w:r>
      <w:proofErr w:type="spellStart"/>
      <w:r w:rsidR="00AB1290" w:rsidRPr="00500CC9">
        <w:rPr>
          <w:sz w:val="24"/>
          <w:szCs w:val="24"/>
          <w:lang w:val="en-US"/>
        </w:rPr>
        <w:t>Khurana</w:t>
      </w:r>
      <w:proofErr w:type="spellEnd"/>
      <w:r w:rsidR="00AB1290" w:rsidRPr="00500CC9">
        <w:rPr>
          <w:sz w:val="24"/>
          <w:szCs w:val="24"/>
          <w:lang w:val="en-US"/>
        </w:rPr>
        <w:t xml:space="preserve"> et al. </w:t>
      </w:r>
      <w:r w:rsidR="001A3193" w:rsidRPr="00500CC9">
        <w:rPr>
          <w:bCs/>
          <w:sz w:val="24"/>
          <w:szCs w:val="24"/>
          <w:lang w:val="en-US"/>
        </w:rPr>
        <w:t>reported</w:t>
      </w:r>
      <w:r w:rsidR="00AB1290" w:rsidRPr="00500CC9">
        <w:rPr>
          <w:bCs/>
          <w:sz w:val="24"/>
          <w:szCs w:val="24"/>
          <w:lang w:val="en-US"/>
        </w:rPr>
        <w:t xml:space="preserve"> the highest resistance </w:t>
      </w:r>
      <w:r w:rsidR="001A3193" w:rsidRPr="00500CC9">
        <w:rPr>
          <w:bCs/>
          <w:sz w:val="24"/>
          <w:szCs w:val="24"/>
          <w:lang w:val="en-US"/>
        </w:rPr>
        <w:t>of</w:t>
      </w:r>
      <w:r w:rsidR="001A3193" w:rsidRPr="00500CC9">
        <w:rPr>
          <w:sz w:val="24"/>
          <w:szCs w:val="24"/>
          <w:lang w:val="en-US"/>
        </w:rPr>
        <w:t xml:space="preserve"> </w:t>
      </w:r>
      <w:proofErr w:type="spellStart"/>
      <w:r w:rsidR="00665FFB" w:rsidRPr="00500CC9">
        <w:rPr>
          <w:sz w:val="24"/>
          <w:szCs w:val="24"/>
          <w:lang w:val="en-US"/>
        </w:rPr>
        <w:t>amoxiclav</w:t>
      </w:r>
      <w:proofErr w:type="spellEnd"/>
      <w:r w:rsidR="00665FFB" w:rsidRPr="00500CC9">
        <w:rPr>
          <w:sz w:val="24"/>
          <w:szCs w:val="24"/>
          <w:lang w:val="en-US"/>
        </w:rPr>
        <w:t xml:space="preserve"> (84%), followed by levofloxacin (83%), ciprofloxacin (79%), and trimethoprim/sulfamethoxazole (75%). However, resistance in urine samples was highest for </w:t>
      </w:r>
      <w:proofErr w:type="spellStart"/>
      <w:r w:rsidR="00665FFB" w:rsidRPr="00500CC9">
        <w:rPr>
          <w:sz w:val="24"/>
          <w:szCs w:val="24"/>
          <w:lang w:val="en-US"/>
        </w:rPr>
        <w:t>amoxiclav</w:t>
      </w:r>
      <w:proofErr w:type="spellEnd"/>
      <w:r w:rsidR="00595A77" w:rsidRPr="00500CC9">
        <w:rPr>
          <w:sz w:val="24"/>
          <w:szCs w:val="24"/>
          <w:lang w:val="en-US"/>
        </w:rPr>
        <w:t xml:space="preserve"> (100%)</w:t>
      </w:r>
      <w:r w:rsidR="00665FFB" w:rsidRPr="00500CC9">
        <w:rPr>
          <w:sz w:val="24"/>
          <w:szCs w:val="24"/>
          <w:lang w:val="en-US"/>
        </w:rPr>
        <w:t xml:space="preserve"> and nitrofurantoin </w:t>
      </w:r>
      <w:r w:rsidR="00595A77" w:rsidRPr="00500CC9">
        <w:rPr>
          <w:sz w:val="24"/>
          <w:szCs w:val="24"/>
          <w:lang w:val="en-US"/>
        </w:rPr>
        <w:t>(</w:t>
      </w:r>
      <w:r w:rsidR="00665FFB" w:rsidRPr="00500CC9">
        <w:rPr>
          <w:sz w:val="24"/>
          <w:szCs w:val="24"/>
          <w:lang w:val="en-US"/>
        </w:rPr>
        <w:t>50%</w:t>
      </w:r>
      <w:r w:rsidR="00595A77" w:rsidRPr="00500CC9">
        <w:rPr>
          <w:sz w:val="24"/>
          <w:szCs w:val="24"/>
          <w:lang w:val="en-US"/>
        </w:rPr>
        <w:t>).</w:t>
      </w:r>
      <w:r w:rsidR="00665FFB" w:rsidRPr="00500CC9">
        <w:rPr>
          <w:sz w:val="24"/>
          <w:szCs w:val="24"/>
          <w:lang w:val="en-US"/>
        </w:rPr>
        <w:t xml:space="preserve"> The lower rates of resistance </w:t>
      </w:r>
      <w:proofErr w:type="gramStart"/>
      <w:r w:rsidR="001A3193" w:rsidRPr="00500CC9">
        <w:rPr>
          <w:bCs/>
          <w:sz w:val="24"/>
          <w:szCs w:val="24"/>
          <w:lang w:val="en-US"/>
        </w:rPr>
        <w:t>were reported</w:t>
      </w:r>
      <w:proofErr w:type="gramEnd"/>
      <w:r w:rsidR="001A3193" w:rsidRPr="00500CC9">
        <w:rPr>
          <w:bCs/>
          <w:sz w:val="24"/>
          <w:szCs w:val="24"/>
          <w:lang w:val="en-US"/>
        </w:rPr>
        <w:t xml:space="preserve"> for</w:t>
      </w:r>
      <w:r w:rsidR="001A3193" w:rsidRPr="00500CC9">
        <w:rPr>
          <w:sz w:val="24"/>
          <w:szCs w:val="24"/>
          <w:lang w:val="en-US"/>
        </w:rPr>
        <w:t xml:space="preserve"> </w:t>
      </w:r>
      <w:r w:rsidR="006C0697" w:rsidRPr="00500CC9">
        <w:rPr>
          <w:sz w:val="24"/>
          <w:szCs w:val="24"/>
          <w:lang w:val="en-US"/>
        </w:rPr>
        <w:t>ciprofloxacin, levofloxacin,</w:t>
      </w:r>
      <w:r w:rsidR="00595A77" w:rsidRPr="00500CC9">
        <w:rPr>
          <w:sz w:val="24"/>
          <w:szCs w:val="24"/>
          <w:lang w:val="en-US"/>
        </w:rPr>
        <w:t xml:space="preserve"> and trimethoprim/sulfamethoxazole</w:t>
      </w:r>
      <w:r w:rsidR="00C9049C" w:rsidRPr="00500CC9">
        <w:rPr>
          <w:sz w:val="24"/>
          <w:szCs w:val="24"/>
          <w:lang w:val="en-US"/>
        </w:rPr>
        <w:t xml:space="preserve"> in 16.7%, 25% and 33.3% </w:t>
      </w:r>
      <w:r w:rsidR="006C0697" w:rsidRPr="00500CC9">
        <w:rPr>
          <w:sz w:val="24"/>
          <w:szCs w:val="24"/>
          <w:lang w:val="en-US"/>
        </w:rPr>
        <w:t xml:space="preserve">of the </w:t>
      </w:r>
      <w:r w:rsidR="00C9049C" w:rsidRPr="00500CC9">
        <w:rPr>
          <w:sz w:val="24"/>
          <w:szCs w:val="24"/>
          <w:lang w:val="en-US"/>
        </w:rPr>
        <w:t>cases, respectively</w:t>
      </w:r>
      <w:r w:rsidR="00640DBE" w:rsidRPr="00500CC9">
        <w:rPr>
          <w:sz w:val="24"/>
          <w:szCs w:val="24"/>
          <w:lang w:val="en-US"/>
        </w:rPr>
        <w:t xml:space="preserve"> [36</w:t>
      </w:r>
      <w:r w:rsidR="00595A77" w:rsidRPr="00500CC9">
        <w:rPr>
          <w:sz w:val="24"/>
          <w:szCs w:val="24"/>
          <w:lang w:val="en-US"/>
        </w:rPr>
        <w:t>].</w:t>
      </w:r>
      <w:r w:rsidR="00F353C8" w:rsidRPr="00500CC9">
        <w:rPr>
          <w:sz w:val="24"/>
          <w:szCs w:val="24"/>
          <w:lang w:val="en-US"/>
        </w:rPr>
        <w:t xml:space="preserve"> In </w:t>
      </w:r>
      <w:r w:rsidR="00776619" w:rsidRPr="00500CC9">
        <w:rPr>
          <w:sz w:val="24"/>
          <w:szCs w:val="24"/>
          <w:lang w:val="en-US"/>
        </w:rPr>
        <w:t xml:space="preserve">COVID-19 clinic settings during </w:t>
      </w:r>
      <w:r w:rsidR="0037650C">
        <w:rPr>
          <w:sz w:val="24"/>
          <w:szCs w:val="24"/>
          <w:lang w:val="en-US"/>
        </w:rPr>
        <w:t xml:space="preserve">the </w:t>
      </w:r>
      <w:r w:rsidR="00776619" w:rsidRPr="00500CC9">
        <w:rPr>
          <w:sz w:val="24"/>
          <w:szCs w:val="24"/>
          <w:lang w:val="en-US"/>
        </w:rPr>
        <w:t>hospitalization period, there was a high rate</w:t>
      </w:r>
      <w:r w:rsidR="0037650C">
        <w:rPr>
          <w:sz w:val="24"/>
          <w:szCs w:val="24"/>
          <w:lang w:val="en-US"/>
        </w:rPr>
        <w:t xml:space="preserve"> of</w:t>
      </w:r>
      <w:r w:rsidR="00776619" w:rsidRPr="00500CC9">
        <w:rPr>
          <w:sz w:val="24"/>
          <w:szCs w:val="24"/>
          <w:lang w:val="en-US"/>
        </w:rPr>
        <w:t xml:space="preserve"> antibiotic prescribing and ma</w:t>
      </w:r>
      <w:r w:rsidR="00FA165B" w:rsidRPr="00500CC9">
        <w:rPr>
          <w:sz w:val="24"/>
          <w:szCs w:val="24"/>
          <w:lang w:val="en-US"/>
        </w:rPr>
        <w:t xml:space="preserve">ny patients received more than </w:t>
      </w:r>
      <w:r w:rsidR="00205833" w:rsidRPr="00500CC9">
        <w:rPr>
          <w:sz w:val="24"/>
          <w:szCs w:val="24"/>
          <w:lang w:val="en-US"/>
        </w:rPr>
        <w:t>one antibiotic</w:t>
      </w:r>
      <w:r w:rsidR="00640DBE" w:rsidRPr="00500CC9">
        <w:rPr>
          <w:sz w:val="24"/>
          <w:szCs w:val="24"/>
          <w:lang w:val="en-US"/>
        </w:rPr>
        <w:t xml:space="preserve"> [37, 38</w:t>
      </w:r>
      <w:r w:rsidR="00776619" w:rsidRPr="00500CC9">
        <w:rPr>
          <w:sz w:val="24"/>
          <w:szCs w:val="24"/>
          <w:lang w:val="en-US"/>
        </w:rPr>
        <w:t>].</w:t>
      </w:r>
      <w:r w:rsidR="00205833" w:rsidRPr="00500CC9">
        <w:rPr>
          <w:sz w:val="24"/>
          <w:szCs w:val="24"/>
          <w:lang w:val="en-US"/>
        </w:rPr>
        <w:t xml:space="preserve"> The prevalence </w:t>
      </w:r>
      <w:r w:rsidR="00D80663" w:rsidRPr="00500CC9">
        <w:rPr>
          <w:sz w:val="24"/>
          <w:szCs w:val="24"/>
          <w:lang w:val="en-US"/>
        </w:rPr>
        <w:t>of hospital</w:t>
      </w:r>
      <w:r w:rsidR="0003480C" w:rsidRPr="00500CC9">
        <w:rPr>
          <w:sz w:val="24"/>
          <w:szCs w:val="24"/>
          <w:lang w:val="en-US"/>
        </w:rPr>
        <w:t xml:space="preserve">-acquired UTI in hospitalized COVID-19 patients </w:t>
      </w:r>
      <w:r w:rsidR="00D163C7" w:rsidRPr="00500CC9">
        <w:rPr>
          <w:sz w:val="24"/>
          <w:szCs w:val="24"/>
          <w:lang w:val="en-US"/>
        </w:rPr>
        <w:t xml:space="preserve">was </w:t>
      </w:r>
      <w:r w:rsidR="0037650C">
        <w:rPr>
          <w:sz w:val="24"/>
          <w:szCs w:val="24"/>
          <w:lang w:val="en-US"/>
        </w:rPr>
        <w:t>89.6%. C</w:t>
      </w:r>
      <w:r w:rsidR="007F74EF" w:rsidRPr="00500CC9">
        <w:rPr>
          <w:sz w:val="24"/>
          <w:szCs w:val="24"/>
          <w:lang w:val="en-US"/>
        </w:rPr>
        <w:t xml:space="preserve">atheter-associated UTIs were the most common type (55.5%) </w:t>
      </w:r>
      <w:r w:rsidR="001A3193" w:rsidRPr="00500CC9">
        <w:rPr>
          <w:bCs/>
          <w:sz w:val="24"/>
          <w:szCs w:val="24"/>
          <w:lang w:val="en-US"/>
        </w:rPr>
        <w:t xml:space="preserve">and </w:t>
      </w:r>
      <w:r w:rsidR="007F74EF" w:rsidRPr="00500CC9">
        <w:rPr>
          <w:bCs/>
          <w:sz w:val="24"/>
          <w:szCs w:val="24"/>
          <w:lang w:val="en-US"/>
        </w:rPr>
        <w:t>bacterial coinfection</w:t>
      </w:r>
      <w:r w:rsidR="001A3193" w:rsidRPr="00500CC9">
        <w:rPr>
          <w:bCs/>
          <w:sz w:val="24"/>
          <w:szCs w:val="24"/>
          <w:lang w:val="en-US"/>
        </w:rPr>
        <w:t>s</w:t>
      </w:r>
      <w:r w:rsidR="007F74EF" w:rsidRPr="00500CC9">
        <w:rPr>
          <w:sz w:val="24"/>
          <w:szCs w:val="24"/>
          <w:lang w:val="en-US"/>
        </w:rPr>
        <w:t xml:space="preserve"> </w:t>
      </w:r>
      <w:proofErr w:type="gramStart"/>
      <w:r w:rsidR="001A3193" w:rsidRPr="00500CC9">
        <w:rPr>
          <w:bCs/>
          <w:sz w:val="24"/>
          <w:szCs w:val="24"/>
          <w:lang w:val="en-US"/>
        </w:rPr>
        <w:t xml:space="preserve">were </w:t>
      </w:r>
      <w:r w:rsidR="007F74EF" w:rsidRPr="00500CC9">
        <w:rPr>
          <w:bCs/>
          <w:sz w:val="24"/>
          <w:szCs w:val="24"/>
          <w:lang w:val="en-US"/>
        </w:rPr>
        <w:t xml:space="preserve">predominantly </w:t>
      </w:r>
      <w:r w:rsidR="001A3193" w:rsidRPr="00500CC9">
        <w:rPr>
          <w:bCs/>
          <w:sz w:val="24"/>
          <w:szCs w:val="24"/>
          <w:lang w:val="en-US"/>
        </w:rPr>
        <w:t>determined</w:t>
      </w:r>
      <w:proofErr w:type="gramEnd"/>
      <w:r w:rsidR="001A3193" w:rsidRPr="00500CC9">
        <w:rPr>
          <w:sz w:val="24"/>
          <w:szCs w:val="24"/>
          <w:lang w:val="en-US"/>
        </w:rPr>
        <w:t xml:space="preserve"> </w:t>
      </w:r>
      <w:r w:rsidR="007F74EF" w:rsidRPr="00500CC9">
        <w:rPr>
          <w:sz w:val="24"/>
          <w:szCs w:val="24"/>
          <w:lang w:val="en-US"/>
        </w:rPr>
        <w:t>by E.</w:t>
      </w:r>
      <w:r w:rsidR="00DB11FF">
        <w:rPr>
          <w:sz w:val="24"/>
          <w:szCs w:val="24"/>
          <w:lang w:val="en-US"/>
        </w:rPr>
        <w:t xml:space="preserve"> </w:t>
      </w:r>
      <w:r w:rsidR="007F74EF" w:rsidRPr="00500CC9">
        <w:rPr>
          <w:sz w:val="24"/>
          <w:szCs w:val="24"/>
          <w:lang w:val="en-US"/>
        </w:rPr>
        <w:t>coli</w:t>
      </w:r>
      <w:r w:rsidR="007944C6" w:rsidRPr="00500CC9">
        <w:rPr>
          <w:sz w:val="24"/>
          <w:szCs w:val="24"/>
          <w:lang w:val="en-US"/>
        </w:rPr>
        <w:t xml:space="preserve"> </w:t>
      </w:r>
      <w:r w:rsidR="00942DB9" w:rsidRPr="00500CC9">
        <w:rPr>
          <w:sz w:val="24"/>
          <w:szCs w:val="24"/>
          <w:lang w:val="en-US"/>
        </w:rPr>
        <w:t xml:space="preserve">and Enterococcus </w:t>
      </w:r>
      <w:proofErr w:type="spellStart"/>
      <w:r w:rsidR="00942DB9" w:rsidRPr="00500CC9">
        <w:rPr>
          <w:sz w:val="24"/>
          <w:szCs w:val="24"/>
          <w:lang w:val="en-US"/>
        </w:rPr>
        <w:t>faecalis</w:t>
      </w:r>
      <w:proofErr w:type="spellEnd"/>
      <w:r w:rsidR="00942DB9" w:rsidRPr="00500CC9">
        <w:rPr>
          <w:sz w:val="24"/>
          <w:szCs w:val="24"/>
          <w:lang w:val="en-US"/>
        </w:rPr>
        <w:t xml:space="preserve"> [39]</w:t>
      </w:r>
      <w:r w:rsidR="007F74EF" w:rsidRPr="00500CC9">
        <w:rPr>
          <w:sz w:val="24"/>
          <w:szCs w:val="24"/>
          <w:lang w:val="en-US"/>
        </w:rPr>
        <w:t>.</w:t>
      </w:r>
      <w:r w:rsidR="00942DB9" w:rsidRPr="00500CC9">
        <w:rPr>
          <w:sz w:val="24"/>
          <w:szCs w:val="24"/>
          <w:lang w:val="en-US"/>
        </w:rPr>
        <w:t xml:space="preserve"> </w:t>
      </w:r>
      <w:r w:rsidR="00DB11FF">
        <w:rPr>
          <w:sz w:val="24"/>
          <w:szCs w:val="24"/>
          <w:lang w:val="en-US"/>
        </w:rPr>
        <w:t xml:space="preserve"> </w:t>
      </w:r>
    </w:p>
    <w:p w14:paraId="510DDE3D" w14:textId="53F3958B" w:rsidR="00862046" w:rsidRPr="00500CC9" w:rsidRDefault="00DB11FF" w:rsidP="00164A2E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Despite </w:t>
      </w:r>
      <w:r w:rsidR="007F74EF" w:rsidRPr="00500CC9">
        <w:rPr>
          <w:sz w:val="24"/>
          <w:szCs w:val="24"/>
          <w:lang w:val="en-US"/>
        </w:rPr>
        <w:t>low rate</w:t>
      </w:r>
      <w:r>
        <w:rPr>
          <w:sz w:val="24"/>
          <w:szCs w:val="24"/>
          <w:lang w:val="en-US"/>
        </w:rPr>
        <w:t>s</w:t>
      </w:r>
      <w:r w:rsidR="007F74EF" w:rsidRPr="00500CC9">
        <w:rPr>
          <w:sz w:val="24"/>
          <w:szCs w:val="24"/>
          <w:lang w:val="en-US"/>
        </w:rPr>
        <w:t xml:space="preserve"> of bacterial coinfection, antibiotic </w:t>
      </w:r>
      <w:r w:rsidR="007944C6" w:rsidRPr="00500CC9">
        <w:rPr>
          <w:bCs/>
          <w:sz w:val="24"/>
          <w:szCs w:val="24"/>
          <w:lang w:val="en-US"/>
        </w:rPr>
        <w:t>overtreatment</w:t>
      </w:r>
      <w:r w:rsidR="007F74EF" w:rsidRPr="00500CC9">
        <w:rPr>
          <w:sz w:val="24"/>
          <w:szCs w:val="24"/>
          <w:lang w:val="en-US"/>
        </w:rPr>
        <w:t xml:space="preserve"> is still high and currently, there are not </w:t>
      </w:r>
      <w:r w:rsidR="00A56035" w:rsidRPr="00500CC9">
        <w:rPr>
          <w:sz w:val="24"/>
          <w:szCs w:val="24"/>
          <w:lang w:val="en-US"/>
        </w:rPr>
        <w:t xml:space="preserve">unified antibiotic stewardship programs </w:t>
      </w:r>
      <w:r w:rsidR="00942DB9" w:rsidRPr="00500CC9">
        <w:rPr>
          <w:sz w:val="24"/>
          <w:szCs w:val="24"/>
          <w:lang w:val="en-US"/>
        </w:rPr>
        <w:t>during ongoing</w:t>
      </w:r>
      <w:r w:rsidR="00A56035" w:rsidRPr="00500CC9">
        <w:rPr>
          <w:sz w:val="24"/>
          <w:szCs w:val="24"/>
          <w:lang w:val="en-US"/>
        </w:rPr>
        <w:t xml:space="preserve"> pandemic COVID-19 [40</w:t>
      </w:r>
      <w:r w:rsidR="00942DB9" w:rsidRPr="00500CC9">
        <w:rPr>
          <w:sz w:val="24"/>
          <w:szCs w:val="24"/>
          <w:lang w:val="en-US"/>
        </w:rPr>
        <w:t>, 41</w:t>
      </w:r>
      <w:r w:rsidR="00A56035" w:rsidRPr="00500CC9">
        <w:rPr>
          <w:sz w:val="24"/>
          <w:szCs w:val="24"/>
          <w:lang w:val="en-US"/>
        </w:rPr>
        <w:t>].</w:t>
      </w:r>
    </w:p>
    <w:p w14:paraId="1C13A56D" w14:textId="2ECC8C7D" w:rsidR="00B61417" w:rsidRPr="00570439" w:rsidRDefault="00570439" w:rsidP="00164A2E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570439">
        <w:rPr>
          <w:b/>
          <w:sz w:val="24"/>
          <w:szCs w:val="24"/>
          <w:lang w:val="en-US"/>
        </w:rPr>
        <w:t>Possible scenario</w:t>
      </w:r>
      <w:r w:rsidR="00BC56AA">
        <w:rPr>
          <w:b/>
          <w:sz w:val="24"/>
          <w:szCs w:val="24"/>
          <w:lang w:val="en-US"/>
        </w:rPr>
        <w:t>s</w:t>
      </w:r>
      <w:r w:rsidR="00C81043" w:rsidRPr="00570439">
        <w:rPr>
          <w:b/>
          <w:sz w:val="24"/>
          <w:szCs w:val="24"/>
          <w:lang w:val="en-US"/>
        </w:rPr>
        <w:t xml:space="preserve"> development of antibiotic resistance in patients</w:t>
      </w:r>
      <w:r w:rsidRPr="00570439">
        <w:rPr>
          <w:b/>
          <w:sz w:val="24"/>
          <w:szCs w:val="24"/>
          <w:lang w:val="en-US"/>
        </w:rPr>
        <w:t xml:space="preserve"> with UTI</w:t>
      </w:r>
      <w:r w:rsidR="00C81043" w:rsidRPr="00570439">
        <w:rPr>
          <w:b/>
          <w:sz w:val="24"/>
          <w:szCs w:val="24"/>
          <w:lang w:val="en-US"/>
        </w:rPr>
        <w:t xml:space="preserve"> after pandemic COVID-19</w:t>
      </w:r>
    </w:p>
    <w:p w14:paraId="17BB85AC" w14:textId="33FF4042" w:rsidR="006F4236" w:rsidRPr="006F4236" w:rsidRDefault="00241579" w:rsidP="00C82E5D">
      <w:pPr>
        <w:spacing w:line="480" w:lineRule="auto"/>
        <w:jc w:val="both"/>
        <w:rPr>
          <w:sz w:val="24"/>
          <w:szCs w:val="24"/>
          <w:lang w:val="en-US"/>
        </w:rPr>
      </w:pPr>
      <w:r w:rsidRPr="00500CC9">
        <w:rPr>
          <w:sz w:val="24"/>
          <w:szCs w:val="24"/>
          <w:lang w:val="en-US"/>
        </w:rPr>
        <w:t>As of 23</w:t>
      </w:r>
      <w:r w:rsidR="00505A12" w:rsidRPr="00500CC9">
        <w:rPr>
          <w:sz w:val="24"/>
          <w:szCs w:val="24"/>
          <w:lang w:val="en-US"/>
        </w:rPr>
        <w:t>.08.2022 August 2022</w:t>
      </w:r>
      <w:r w:rsidRPr="00500CC9">
        <w:rPr>
          <w:sz w:val="24"/>
          <w:szCs w:val="24"/>
          <w:lang w:val="en-US"/>
        </w:rPr>
        <w:t>, there have been 594 367 247</w:t>
      </w:r>
      <w:r w:rsidR="00505A12" w:rsidRPr="00500CC9">
        <w:rPr>
          <w:sz w:val="24"/>
          <w:szCs w:val="24"/>
          <w:lang w:val="en-US"/>
        </w:rPr>
        <w:t xml:space="preserve"> confirmed cases of COVID-1</w:t>
      </w:r>
      <w:r w:rsidRPr="00500CC9">
        <w:rPr>
          <w:sz w:val="24"/>
          <w:szCs w:val="24"/>
          <w:lang w:val="en-US"/>
        </w:rPr>
        <w:t>9 and 6 451 016</w:t>
      </w:r>
      <w:r w:rsidR="00505A12" w:rsidRPr="00500CC9">
        <w:rPr>
          <w:sz w:val="24"/>
          <w:szCs w:val="24"/>
          <w:lang w:val="en-US"/>
        </w:rPr>
        <w:t xml:space="preserve"> deaths globally.</w:t>
      </w:r>
      <w:r w:rsidRPr="00500CC9">
        <w:rPr>
          <w:sz w:val="24"/>
          <w:szCs w:val="24"/>
          <w:lang w:val="en-US"/>
        </w:rPr>
        <w:t xml:space="preserve"> At the same time,</w:t>
      </w:r>
      <w:r w:rsidR="00870F21" w:rsidRPr="00500CC9">
        <w:rPr>
          <w:sz w:val="24"/>
          <w:szCs w:val="24"/>
          <w:lang w:val="en-US"/>
        </w:rPr>
        <w:t xml:space="preserve"> </w:t>
      </w:r>
      <w:r w:rsidRPr="00500CC9">
        <w:rPr>
          <w:sz w:val="24"/>
          <w:szCs w:val="24"/>
          <w:lang w:val="en-US"/>
        </w:rPr>
        <w:t>12</w:t>
      </w:r>
      <w:r w:rsidRPr="00500CC9">
        <w:rPr>
          <w:bCs/>
          <w:sz w:val="24"/>
          <w:szCs w:val="24"/>
          <w:lang w:val="en-US"/>
        </w:rPr>
        <w:t> 409 086 286 vaccine doses</w:t>
      </w:r>
      <w:r w:rsidRPr="00500CC9">
        <w:rPr>
          <w:sz w:val="24"/>
          <w:szCs w:val="24"/>
          <w:lang w:val="en-US"/>
        </w:rPr>
        <w:t xml:space="preserve"> have been </w:t>
      </w:r>
      <w:r w:rsidR="008631BF" w:rsidRPr="00500CC9">
        <w:rPr>
          <w:bCs/>
          <w:sz w:val="24"/>
          <w:szCs w:val="24"/>
          <w:lang w:val="en-US"/>
        </w:rPr>
        <w:t>worldwide</w:t>
      </w:r>
      <w:r w:rsidR="008631BF" w:rsidRPr="00500CC9">
        <w:rPr>
          <w:sz w:val="24"/>
          <w:szCs w:val="24"/>
          <w:lang w:val="en-US"/>
        </w:rPr>
        <w:t xml:space="preserve"> </w:t>
      </w:r>
      <w:r w:rsidRPr="00500CC9">
        <w:rPr>
          <w:sz w:val="24"/>
          <w:szCs w:val="24"/>
          <w:lang w:val="en-US"/>
        </w:rPr>
        <w:t xml:space="preserve">administered [42]. </w:t>
      </w:r>
      <w:r w:rsidR="00E47B48" w:rsidRPr="00500CC9">
        <w:rPr>
          <w:sz w:val="24"/>
          <w:szCs w:val="24"/>
          <w:lang w:val="en-US"/>
        </w:rPr>
        <w:t xml:space="preserve">Nine </w:t>
      </w:r>
      <w:r w:rsidR="00870F21" w:rsidRPr="00500CC9">
        <w:rPr>
          <w:sz w:val="24"/>
          <w:szCs w:val="24"/>
          <w:lang w:val="en-US"/>
        </w:rPr>
        <w:t>mRNA vaccine based</w:t>
      </w:r>
      <w:r w:rsidR="00E47B48" w:rsidRPr="00500CC9">
        <w:rPr>
          <w:sz w:val="24"/>
          <w:szCs w:val="24"/>
          <w:lang w:val="en-US"/>
        </w:rPr>
        <w:t xml:space="preserve"> on the Wuhan-Hu-1 strain showed </w:t>
      </w:r>
      <w:r w:rsidR="00870F21" w:rsidRPr="00500CC9">
        <w:rPr>
          <w:sz w:val="24"/>
          <w:szCs w:val="24"/>
          <w:lang w:val="en-US"/>
        </w:rPr>
        <w:t xml:space="preserve">high </w:t>
      </w:r>
      <w:r w:rsidR="00E47B48" w:rsidRPr="00500CC9">
        <w:rPr>
          <w:sz w:val="24"/>
          <w:szCs w:val="24"/>
          <w:lang w:val="en-US"/>
        </w:rPr>
        <w:t>efficacy against symptomatic cases</w:t>
      </w:r>
      <w:r w:rsidR="00870F21" w:rsidRPr="00500CC9">
        <w:rPr>
          <w:sz w:val="24"/>
          <w:szCs w:val="24"/>
          <w:lang w:val="en-US"/>
        </w:rPr>
        <w:t xml:space="preserve"> of COVID-19</w:t>
      </w:r>
      <w:r w:rsidR="00F24B56" w:rsidRPr="00500CC9">
        <w:rPr>
          <w:sz w:val="24"/>
          <w:szCs w:val="24"/>
          <w:lang w:val="en-US"/>
        </w:rPr>
        <w:t>.</w:t>
      </w:r>
      <w:r w:rsidR="00870F21" w:rsidRPr="00500CC9">
        <w:rPr>
          <w:sz w:val="24"/>
          <w:szCs w:val="24"/>
          <w:lang w:val="en-US"/>
        </w:rPr>
        <w:t xml:space="preserve"> However,</w:t>
      </w:r>
      <w:r w:rsidR="00F24B56" w:rsidRPr="00500CC9">
        <w:rPr>
          <w:sz w:val="24"/>
          <w:szCs w:val="24"/>
          <w:lang w:val="en-US"/>
        </w:rPr>
        <w:t xml:space="preserve"> despite the successful COVID-19 vaccination strategies, there is still a global threat of emerging of antimicrobial resistance due to </w:t>
      </w:r>
      <w:r w:rsidR="00F24B56" w:rsidRPr="00440ACB">
        <w:rPr>
          <w:sz w:val="24"/>
          <w:szCs w:val="24"/>
          <w:lang w:val="en-US"/>
        </w:rPr>
        <w:t>overcons</w:t>
      </w:r>
      <w:r w:rsidR="004A6CF5" w:rsidRPr="00440ACB">
        <w:rPr>
          <w:sz w:val="24"/>
          <w:szCs w:val="24"/>
          <w:lang w:val="en-US"/>
        </w:rPr>
        <w:t>umption of antibiotics</w:t>
      </w:r>
      <w:r w:rsidR="008631BF" w:rsidRPr="00440ACB">
        <w:rPr>
          <w:sz w:val="24"/>
          <w:szCs w:val="24"/>
          <w:lang w:val="en-US"/>
        </w:rPr>
        <w:t xml:space="preserve"> in patients </w:t>
      </w:r>
      <w:r w:rsidR="008631BF" w:rsidRPr="00440ACB">
        <w:rPr>
          <w:bCs/>
          <w:sz w:val="24"/>
          <w:szCs w:val="24"/>
          <w:lang w:val="en-US"/>
        </w:rPr>
        <w:t>affecte</w:t>
      </w:r>
      <w:r w:rsidR="00F21939" w:rsidRPr="00440ACB">
        <w:rPr>
          <w:bCs/>
          <w:sz w:val="24"/>
          <w:szCs w:val="24"/>
          <w:lang w:val="en-US"/>
        </w:rPr>
        <w:t>d by COVID-19</w:t>
      </w:r>
      <w:r w:rsidR="004A6CF5" w:rsidRPr="00440ACB">
        <w:rPr>
          <w:sz w:val="24"/>
          <w:szCs w:val="24"/>
          <w:lang w:val="en-US"/>
        </w:rPr>
        <w:t xml:space="preserve"> [43-45]. Therefore, all </w:t>
      </w:r>
      <w:r w:rsidR="006350B5" w:rsidRPr="00440ACB">
        <w:rPr>
          <w:bCs/>
          <w:sz w:val="24"/>
          <w:szCs w:val="24"/>
          <w:lang w:val="en-US"/>
        </w:rPr>
        <w:t xml:space="preserve">healthcare </w:t>
      </w:r>
      <w:r w:rsidR="00F21939" w:rsidRPr="00440ACB">
        <w:rPr>
          <w:bCs/>
          <w:sz w:val="24"/>
          <w:szCs w:val="24"/>
          <w:lang w:val="en-US"/>
        </w:rPr>
        <w:t xml:space="preserve">and scientific </w:t>
      </w:r>
      <w:r w:rsidR="006350B5" w:rsidRPr="00440ACB">
        <w:rPr>
          <w:bCs/>
          <w:sz w:val="24"/>
          <w:szCs w:val="24"/>
          <w:lang w:val="en-US"/>
        </w:rPr>
        <w:t xml:space="preserve">societies </w:t>
      </w:r>
      <w:r w:rsidR="004A6CF5" w:rsidRPr="00440ACB">
        <w:rPr>
          <w:bCs/>
          <w:sz w:val="24"/>
          <w:szCs w:val="24"/>
          <w:lang w:val="en-US"/>
        </w:rPr>
        <w:t xml:space="preserve">should </w:t>
      </w:r>
      <w:r w:rsidR="00F21939" w:rsidRPr="00440ACB">
        <w:rPr>
          <w:bCs/>
          <w:sz w:val="24"/>
          <w:szCs w:val="24"/>
          <w:lang w:val="en-US"/>
        </w:rPr>
        <w:t xml:space="preserve">share guidelines in </w:t>
      </w:r>
      <w:r w:rsidR="004A6CF5" w:rsidRPr="00440ACB">
        <w:rPr>
          <w:bCs/>
          <w:sz w:val="24"/>
          <w:szCs w:val="24"/>
          <w:lang w:val="en-US"/>
        </w:rPr>
        <w:t xml:space="preserve">antibiotic </w:t>
      </w:r>
      <w:r w:rsidR="00F21939" w:rsidRPr="00440ACB">
        <w:rPr>
          <w:bCs/>
          <w:sz w:val="24"/>
          <w:szCs w:val="24"/>
          <w:lang w:val="en-US"/>
        </w:rPr>
        <w:t>therapy</w:t>
      </w:r>
      <w:r w:rsidR="004A6CF5" w:rsidRPr="00440ACB">
        <w:rPr>
          <w:sz w:val="24"/>
          <w:szCs w:val="24"/>
          <w:lang w:val="en-US"/>
        </w:rPr>
        <w:t>,</w:t>
      </w:r>
      <w:r w:rsidR="003753F5" w:rsidRPr="00440ACB">
        <w:rPr>
          <w:sz w:val="24"/>
          <w:szCs w:val="24"/>
          <w:lang w:val="en-US"/>
        </w:rPr>
        <w:t xml:space="preserve"> which have to </w:t>
      </w:r>
      <w:r w:rsidR="006F4236" w:rsidRPr="00440ACB">
        <w:rPr>
          <w:sz w:val="24"/>
          <w:szCs w:val="24"/>
          <w:lang w:val="en-US"/>
        </w:rPr>
        <w:t>include</w:t>
      </w:r>
      <w:r w:rsidR="006B0FBB" w:rsidRPr="00440ACB">
        <w:rPr>
          <w:sz w:val="24"/>
          <w:szCs w:val="24"/>
          <w:lang w:val="en-US"/>
        </w:rPr>
        <w:t xml:space="preserve"> as following:</w:t>
      </w:r>
      <w:r w:rsidR="006F4236" w:rsidRPr="00440ACB">
        <w:rPr>
          <w:sz w:val="24"/>
          <w:szCs w:val="24"/>
          <w:lang w:val="en-US"/>
        </w:rPr>
        <w:t xml:space="preserve"> </w:t>
      </w:r>
      <w:r w:rsidR="006B0FBB" w:rsidRPr="00440ACB">
        <w:rPr>
          <w:sz w:val="24"/>
          <w:szCs w:val="24"/>
          <w:lang w:val="en-US"/>
        </w:rPr>
        <w:t xml:space="preserve">the </w:t>
      </w:r>
      <w:r w:rsidR="006F4236" w:rsidRPr="00440ACB">
        <w:rPr>
          <w:sz w:val="24"/>
          <w:szCs w:val="24"/>
          <w:lang w:val="en-US"/>
        </w:rPr>
        <w:t xml:space="preserve">monitoring </w:t>
      </w:r>
      <w:r w:rsidR="006B0FBB" w:rsidRPr="00440ACB">
        <w:rPr>
          <w:sz w:val="24"/>
          <w:szCs w:val="24"/>
          <w:lang w:val="en-US"/>
        </w:rPr>
        <w:t xml:space="preserve">of </w:t>
      </w:r>
      <w:r w:rsidR="006F4236" w:rsidRPr="00440ACB">
        <w:rPr>
          <w:sz w:val="24"/>
          <w:szCs w:val="24"/>
          <w:lang w:val="en-US"/>
        </w:rPr>
        <w:t>antibiotic prescribing practices</w:t>
      </w:r>
      <w:r w:rsidR="006B0FBB" w:rsidRPr="00440ACB">
        <w:rPr>
          <w:sz w:val="24"/>
          <w:szCs w:val="24"/>
          <w:lang w:val="en-US"/>
        </w:rPr>
        <w:t xml:space="preserve"> and external benchmarking; staff education on appropriate antibiotic administration; </w:t>
      </w:r>
      <w:r w:rsidR="00500CC9" w:rsidRPr="00440ACB">
        <w:rPr>
          <w:sz w:val="24"/>
          <w:szCs w:val="24"/>
          <w:lang w:val="en-US"/>
        </w:rPr>
        <w:t xml:space="preserve">antibiotic restriction with approval systems for broad-spectrum drugs and </w:t>
      </w:r>
      <w:r w:rsidR="003B16D1" w:rsidRPr="00440ACB">
        <w:rPr>
          <w:sz w:val="24"/>
          <w:szCs w:val="24"/>
          <w:lang w:val="en-US"/>
        </w:rPr>
        <w:t xml:space="preserve">an </w:t>
      </w:r>
      <w:r w:rsidR="00500CC9" w:rsidRPr="00440ACB">
        <w:rPr>
          <w:sz w:val="24"/>
          <w:szCs w:val="24"/>
          <w:lang w:val="en-US"/>
        </w:rPr>
        <w:t xml:space="preserve">adequate </w:t>
      </w:r>
      <w:r w:rsidR="006B0FBB" w:rsidRPr="00440ACB">
        <w:rPr>
          <w:sz w:val="24"/>
          <w:szCs w:val="24"/>
          <w:lang w:val="en-US"/>
        </w:rPr>
        <w:t>feedback to the antibiotic prescriber.</w:t>
      </w:r>
    </w:p>
    <w:p w14:paraId="5A1F6761" w14:textId="77777777" w:rsidR="001127CE" w:rsidRDefault="001127CE" w:rsidP="00C82E5D">
      <w:pPr>
        <w:spacing w:line="480" w:lineRule="auto"/>
        <w:jc w:val="both"/>
        <w:rPr>
          <w:sz w:val="24"/>
          <w:szCs w:val="24"/>
          <w:lang w:val="en-US"/>
        </w:rPr>
      </w:pPr>
    </w:p>
    <w:p w14:paraId="38BE0337" w14:textId="78366721" w:rsidR="00C82E5D" w:rsidRPr="00500CC9" w:rsidRDefault="00C36653" w:rsidP="00C82E5D">
      <w:pPr>
        <w:spacing w:line="480" w:lineRule="auto"/>
        <w:jc w:val="both"/>
        <w:rPr>
          <w:sz w:val="24"/>
          <w:szCs w:val="24"/>
          <w:lang w:val="en-US"/>
        </w:rPr>
      </w:pPr>
      <w:r w:rsidRPr="00500CC9">
        <w:rPr>
          <w:sz w:val="24"/>
          <w:szCs w:val="24"/>
          <w:lang w:val="en-US"/>
        </w:rPr>
        <w:t>Considering,</w:t>
      </w:r>
      <w:r w:rsidR="004A6CF5" w:rsidRPr="00500CC9">
        <w:rPr>
          <w:sz w:val="24"/>
          <w:szCs w:val="24"/>
          <w:lang w:val="en-US"/>
        </w:rPr>
        <w:t xml:space="preserve"> the abovementioned</w:t>
      </w:r>
      <w:r w:rsidR="00FA1F61" w:rsidRPr="00500CC9">
        <w:rPr>
          <w:sz w:val="24"/>
          <w:szCs w:val="24"/>
          <w:lang w:val="en-US"/>
        </w:rPr>
        <w:t xml:space="preserve"> trends </w:t>
      </w:r>
      <w:r w:rsidR="003F07D0" w:rsidRPr="00500CC9">
        <w:rPr>
          <w:sz w:val="24"/>
          <w:szCs w:val="24"/>
          <w:lang w:val="en-US"/>
        </w:rPr>
        <w:t>of a</w:t>
      </w:r>
      <w:r w:rsidRPr="00500CC9">
        <w:rPr>
          <w:sz w:val="24"/>
          <w:szCs w:val="24"/>
          <w:lang w:val="en-US"/>
        </w:rPr>
        <w:t xml:space="preserve">ntibiotic resistance </w:t>
      </w:r>
      <w:r w:rsidR="00C25843" w:rsidRPr="00500CC9">
        <w:rPr>
          <w:sz w:val="24"/>
          <w:szCs w:val="24"/>
          <w:lang w:val="en-US"/>
        </w:rPr>
        <w:t xml:space="preserve">in patients with UTI </w:t>
      </w:r>
      <w:r w:rsidR="00F21939" w:rsidRPr="00500CC9">
        <w:rPr>
          <w:bCs/>
          <w:sz w:val="24"/>
          <w:szCs w:val="24"/>
          <w:lang w:val="en-US"/>
        </w:rPr>
        <w:t>alone or in association with</w:t>
      </w:r>
      <w:r w:rsidR="0040064D" w:rsidRPr="00500CC9">
        <w:rPr>
          <w:sz w:val="24"/>
          <w:szCs w:val="24"/>
          <w:lang w:val="en-US"/>
        </w:rPr>
        <w:t xml:space="preserve"> SARS-CoV-2 infection</w:t>
      </w:r>
      <w:r w:rsidR="00C25843" w:rsidRPr="00500CC9">
        <w:rPr>
          <w:sz w:val="24"/>
          <w:szCs w:val="24"/>
          <w:lang w:val="en-US"/>
        </w:rPr>
        <w:t xml:space="preserve">, we hypothesized following possible scenarios of development of </w:t>
      </w:r>
      <w:r w:rsidR="00500CC9" w:rsidRPr="00500CC9">
        <w:rPr>
          <w:sz w:val="24"/>
          <w:szCs w:val="24"/>
          <w:lang w:val="en-US"/>
        </w:rPr>
        <w:t xml:space="preserve">the </w:t>
      </w:r>
      <w:r w:rsidR="006350B5" w:rsidRPr="00500CC9">
        <w:rPr>
          <w:sz w:val="24"/>
          <w:szCs w:val="24"/>
          <w:lang w:val="en-US"/>
        </w:rPr>
        <w:t>antimicrobial resistance (</w:t>
      </w:r>
      <w:r w:rsidR="00C25843" w:rsidRPr="00500CC9">
        <w:rPr>
          <w:sz w:val="24"/>
          <w:szCs w:val="24"/>
          <w:lang w:val="en-US"/>
        </w:rPr>
        <w:t>AMR</w:t>
      </w:r>
      <w:r w:rsidR="006350B5" w:rsidRPr="00500CC9">
        <w:rPr>
          <w:sz w:val="24"/>
          <w:szCs w:val="24"/>
          <w:lang w:val="en-US"/>
        </w:rPr>
        <w:t>)</w:t>
      </w:r>
      <w:r w:rsidR="00C25843" w:rsidRPr="00500CC9">
        <w:rPr>
          <w:sz w:val="24"/>
          <w:szCs w:val="24"/>
          <w:lang w:val="en-US"/>
        </w:rPr>
        <w:t xml:space="preserve">: </w:t>
      </w:r>
    </w:p>
    <w:p w14:paraId="6C8E2CCB" w14:textId="77777777" w:rsidR="00717C80" w:rsidRPr="00440ACB" w:rsidRDefault="00E215C6" w:rsidP="00717C80">
      <w:pPr>
        <w:spacing w:line="480" w:lineRule="auto"/>
        <w:ind w:left="720"/>
        <w:jc w:val="both"/>
        <w:rPr>
          <w:bCs/>
          <w:color w:val="000000" w:themeColor="text1"/>
          <w:sz w:val="24"/>
          <w:szCs w:val="24"/>
          <w:lang w:val="en-US"/>
        </w:rPr>
      </w:pPr>
      <w:r w:rsidRPr="00440ACB">
        <w:rPr>
          <w:color w:val="000000" w:themeColor="text1"/>
          <w:sz w:val="24"/>
          <w:szCs w:val="24"/>
          <w:lang w:val="en-US"/>
        </w:rPr>
        <w:t xml:space="preserve">1) </w:t>
      </w:r>
      <w:r w:rsidR="00B41576" w:rsidRPr="00440ACB">
        <w:rPr>
          <w:bCs/>
          <w:color w:val="000000" w:themeColor="text1"/>
          <w:sz w:val="24"/>
          <w:szCs w:val="24"/>
          <w:lang w:val="en-US"/>
        </w:rPr>
        <w:t xml:space="preserve">Baseless administration of fluoroquinolones, third-generation </w:t>
      </w:r>
      <w:proofErr w:type="spellStart"/>
      <w:r w:rsidR="00B41576" w:rsidRPr="00440ACB">
        <w:rPr>
          <w:bCs/>
          <w:color w:val="000000" w:themeColor="text1"/>
          <w:sz w:val="24"/>
          <w:szCs w:val="24"/>
          <w:lang w:val="en-US"/>
        </w:rPr>
        <w:t>cephalosporins</w:t>
      </w:r>
      <w:proofErr w:type="spellEnd"/>
      <w:r w:rsidR="00B41576" w:rsidRPr="00440ACB">
        <w:rPr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41576" w:rsidRPr="00440ACB">
        <w:rPr>
          <w:bCs/>
          <w:color w:val="000000" w:themeColor="text1"/>
          <w:sz w:val="24"/>
          <w:szCs w:val="24"/>
          <w:lang w:val="en-US"/>
        </w:rPr>
        <w:t>amoxiclav</w:t>
      </w:r>
      <w:proofErr w:type="spellEnd"/>
      <w:r w:rsidR="00B41576" w:rsidRPr="00440ACB">
        <w:rPr>
          <w:bCs/>
          <w:color w:val="000000" w:themeColor="text1"/>
          <w:sz w:val="24"/>
          <w:szCs w:val="24"/>
          <w:lang w:val="en-US"/>
        </w:rPr>
        <w:t xml:space="preserve"> and other antibiotics in patients with UTIs alone or in association with SARS-CoV-2 infection may significantly increase current ra</w:t>
      </w:r>
      <w:r w:rsidR="00717C80" w:rsidRPr="00440ACB">
        <w:rPr>
          <w:bCs/>
          <w:color w:val="000000" w:themeColor="text1"/>
          <w:sz w:val="24"/>
          <w:szCs w:val="24"/>
          <w:lang w:val="en-US"/>
        </w:rPr>
        <w:t>tes of antimicrobial resistance</w:t>
      </w:r>
      <w:r w:rsidR="00160610" w:rsidRPr="00440ACB">
        <w:rPr>
          <w:bCs/>
          <w:color w:val="000000" w:themeColor="text1"/>
          <w:sz w:val="24"/>
          <w:szCs w:val="24"/>
          <w:lang w:val="en-US"/>
        </w:rPr>
        <w:t>.</w:t>
      </w:r>
    </w:p>
    <w:p w14:paraId="25596374" w14:textId="60EB1CC5" w:rsidR="00717C80" w:rsidRPr="00440ACB" w:rsidRDefault="00E215C6" w:rsidP="00717C80">
      <w:pPr>
        <w:spacing w:line="480" w:lineRule="auto"/>
        <w:ind w:left="720"/>
        <w:jc w:val="both"/>
        <w:rPr>
          <w:color w:val="000000" w:themeColor="text1"/>
          <w:sz w:val="24"/>
          <w:szCs w:val="24"/>
          <w:lang w:val="en-US"/>
        </w:rPr>
      </w:pPr>
      <w:r w:rsidRPr="00440ACB">
        <w:rPr>
          <w:color w:val="000000" w:themeColor="text1"/>
          <w:sz w:val="24"/>
          <w:szCs w:val="24"/>
          <w:lang w:val="en-US"/>
        </w:rPr>
        <w:t xml:space="preserve">2) </w:t>
      </w:r>
      <w:r w:rsidR="002F4EAE" w:rsidRPr="00440ACB">
        <w:rPr>
          <w:color w:val="000000" w:themeColor="text1"/>
          <w:sz w:val="24"/>
          <w:szCs w:val="24"/>
          <w:lang w:val="en-US"/>
        </w:rPr>
        <w:t>The success</w:t>
      </w:r>
      <w:r w:rsidR="00A246C6" w:rsidRPr="00440ACB">
        <w:rPr>
          <w:color w:val="000000" w:themeColor="text1"/>
          <w:sz w:val="24"/>
          <w:szCs w:val="24"/>
          <w:lang w:val="en-US"/>
        </w:rPr>
        <w:t>ful COVID-19 vaccination significantly reduce</w:t>
      </w:r>
      <w:r w:rsidR="002F4EAE" w:rsidRPr="00440ACB">
        <w:rPr>
          <w:color w:val="000000" w:themeColor="text1"/>
          <w:sz w:val="24"/>
          <w:szCs w:val="24"/>
          <w:lang w:val="en-US"/>
        </w:rPr>
        <w:t xml:space="preserve"> </w:t>
      </w:r>
      <w:r w:rsidR="00A246C6" w:rsidRPr="00440ACB">
        <w:rPr>
          <w:color w:val="000000" w:themeColor="text1"/>
          <w:sz w:val="24"/>
          <w:szCs w:val="24"/>
          <w:lang w:val="en-US"/>
        </w:rPr>
        <w:t xml:space="preserve">the </w:t>
      </w:r>
      <w:r w:rsidR="002F4EAE" w:rsidRPr="00440ACB">
        <w:rPr>
          <w:color w:val="000000" w:themeColor="text1"/>
          <w:sz w:val="24"/>
          <w:szCs w:val="24"/>
          <w:lang w:val="en-US"/>
        </w:rPr>
        <w:t>hospitalization rates</w:t>
      </w:r>
      <w:r w:rsidR="00B74646" w:rsidRPr="00440ACB">
        <w:rPr>
          <w:color w:val="000000" w:themeColor="text1"/>
          <w:sz w:val="24"/>
          <w:szCs w:val="24"/>
          <w:lang w:val="en-US"/>
        </w:rPr>
        <w:t>;</w:t>
      </w:r>
      <w:r w:rsidR="00A246C6" w:rsidRPr="00440ACB">
        <w:rPr>
          <w:color w:val="000000" w:themeColor="text1"/>
          <w:sz w:val="24"/>
          <w:szCs w:val="24"/>
          <w:lang w:val="en-US"/>
        </w:rPr>
        <w:t xml:space="preserve"> however</w:t>
      </w:r>
      <w:r w:rsidR="00B74646" w:rsidRPr="00440ACB">
        <w:rPr>
          <w:color w:val="000000" w:themeColor="text1"/>
          <w:sz w:val="24"/>
          <w:szCs w:val="24"/>
          <w:lang w:val="en-US"/>
        </w:rPr>
        <w:t>,</w:t>
      </w:r>
      <w:r w:rsidR="00B41576" w:rsidRPr="00440ACB">
        <w:rPr>
          <w:color w:val="000000" w:themeColor="text1"/>
          <w:sz w:val="24"/>
          <w:szCs w:val="24"/>
          <w:lang w:val="en-US"/>
        </w:rPr>
        <w:t xml:space="preserve"> injudicious</w:t>
      </w:r>
      <w:r w:rsidR="00A246C6" w:rsidRPr="00440ACB">
        <w:rPr>
          <w:color w:val="000000" w:themeColor="text1"/>
          <w:sz w:val="24"/>
          <w:szCs w:val="24"/>
          <w:lang w:val="en-US"/>
        </w:rPr>
        <w:t xml:space="preserve"> use </w:t>
      </w:r>
      <w:r w:rsidR="00B41576" w:rsidRPr="00440ACB">
        <w:rPr>
          <w:color w:val="000000" w:themeColor="text1"/>
          <w:sz w:val="24"/>
          <w:szCs w:val="24"/>
          <w:lang w:val="en-US"/>
        </w:rPr>
        <w:t xml:space="preserve">of </w:t>
      </w:r>
      <w:r w:rsidR="00A246C6" w:rsidRPr="00440ACB">
        <w:rPr>
          <w:color w:val="000000" w:themeColor="text1"/>
          <w:sz w:val="24"/>
          <w:szCs w:val="24"/>
          <w:lang w:val="en-US"/>
        </w:rPr>
        <w:t>antibiotic</w:t>
      </w:r>
      <w:r w:rsidR="00B41576" w:rsidRPr="00440ACB">
        <w:rPr>
          <w:color w:val="000000" w:themeColor="text1"/>
          <w:sz w:val="24"/>
          <w:szCs w:val="24"/>
          <w:lang w:val="en-US"/>
        </w:rPr>
        <w:t>s</w:t>
      </w:r>
      <w:r w:rsidR="00A246C6" w:rsidRPr="00440ACB">
        <w:rPr>
          <w:color w:val="000000" w:themeColor="text1"/>
          <w:sz w:val="24"/>
          <w:szCs w:val="24"/>
          <w:lang w:val="en-US"/>
        </w:rPr>
        <w:t xml:space="preserve"> in patients with UTI may also increase the rates of antimicrobial resistance</w:t>
      </w:r>
      <w:r w:rsidR="00160610" w:rsidRPr="00440ACB">
        <w:rPr>
          <w:color w:val="000000" w:themeColor="text1"/>
          <w:sz w:val="24"/>
          <w:szCs w:val="24"/>
          <w:lang w:val="en-US"/>
        </w:rPr>
        <w:t>.</w:t>
      </w:r>
      <w:r w:rsidR="00A246C6" w:rsidRPr="00440ACB">
        <w:rPr>
          <w:color w:val="000000" w:themeColor="text1"/>
          <w:sz w:val="24"/>
          <w:szCs w:val="24"/>
          <w:lang w:val="en-US"/>
        </w:rPr>
        <w:t xml:space="preserve">  </w:t>
      </w:r>
    </w:p>
    <w:p w14:paraId="71492EC8" w14:textId="77777777" w:rsidR="00E663D8" w:rsidRPr="00440ACB" w:rsidRDefault="00095303" w:rsidP="00E663D8">
      <w:pPr>
        <w:spacing w:line="480" w:lineRule="auto"/>
        <w:ind w:left="720"/>
        <w:jc w:val="both"/>
        <w:rPr>
          <w:color w:val="000000" w:themeColor="text1"/>
          <w:sz w:val="24"/>
          <w:szCs w:val="24"/>
          <w:lang w:val="en-US"/>
        </w:rPr>
      </w:pPr>
      <w:r w:rsidRPr="00440ACB">
        <w:rPr>
          <w:sz w:val="24"/>
          <w:szCs w:val="24"/>
          <w:lang w:val="en-US"/>
        </w:rPr>
        <w:t xml:space="preserve">3) </w:t>
      </w:r>
      <w:r w:rsidRPr="00440ACB">
        <w:rPr>
          <w:bCs/>
          <w:sz w:val="24"/>
          <w:szCs w:val="24"/>
          <w:lang w:val="en-US"/>
        </w:rPr>
        <w:t>Significant reduction</w:t>
      </w:r>
      <w:r w:rsidR="00F21939" w:rsidRPr="00440ACB">
        <w:rPr>
          <w:bCs/>
          <w:sz w:val="24"/>
          <w:szCs w:val="24"/>
          <w:lang w:val="en-US"/>
        </w:rPr>
        <w:t xml:space="preserve"> of</w:t>
      </w:r>
      <w:r w:rsidRPr="00440ACB">
        <w:rPr>
          <w:bCs/>
          <w:sz w:val="24"/>
          <w:szCs w:val="24"/>
          <w:lang w:val="en-US"/>
        </w:rPr>
        <w:t xml:space="preserve"> resistance to the most commonly used antibiotics in the treatment of UTIs</w:t>
      </w:r>
      <w:r w:rsidR="00347249" w:rsidRPr="00440ACB">
        <w:rPr>
          <w:bCs/>
          <w:sz w:val="24"/>
          <w:szCs w:val="24"/>
          <w:lang w:val="en-US"/>
        </w:rPr>
        <w:t xml:space="preserve"> by </w:t>
      </w:r>
      <w:r w:rsidRPr="00440ACB">
        <w:rPr>
          <w:bCs/>
          <w:sz w:val="24"/>
          <w:szCs w:val="24"/>
          <w:lang w:val="en-US"/>
        </w:rPr>
        <w:t>the development of reliable</w:t>
      </w:r>
      <w:r w:rsidR="00347249" w:rsidRPr="00440ACB">
        <w:rPr>
          <w:bCs/>
          <w:sz w:val="24"/>
          <w:szCs w:val="24"/>
          <w:lang w:val="en-US"/>
        </w:rPr>
        <w:t xml:space="preserve"> guidelines for</w:t>
      </w:r>
      <w:r w:rsidRPr="00440ACB">
        <w:rPr>
          <w:bCs/>
          <w:sz w:val="24"/>
          <w:szCs w:val="24"/>
          <w:lang w:val="en-US"/>
        </w:rPr>
        <w:t xml:space="preserve"> antibiotic </w:t>
      </w:r>
      <w:r w:rsidR="00347249" w:rsidRPr="00440ACB">
        <w:rPr>
          <w:bCs/>
          <w:sz w:val="24"/>
          <w:szCs w:val="24"/>
          <w:lang w:val="en-US"/>
        </w:rPr>
        <w:t>treatment</w:t>
      </w:r>
      <w:r w:rsidRPr="00440ACB">
        <w:rPr>
          <w:bCs/>
          <w:sz w:val="24"/>
          <w:szCs w:val="24"/>
          <w:lang w:val="en-US"/>
        </w:rPr>
        <w:t xml:space="preserve"> </w:t>
      </w:r>
      <w:r w:rsidR="00347249" w:rsidRPr="00440ACB">
        <w:rPr>
          <w:bCs/>
          <w:sz w:val="24"/>
          <w:szCs w:val="24"/>
          <w:lang w:val="en-US"/>
        </w:rPr>
        <w:t xml:space="preserve">and by </w:t>
      </w:r>
      <w:r w:rsidR="00E215C6" w:rsidRPr="00440ACB">
        <w:rPr>
          <w:bCs/>
          <w:sz w:val="24"/>
          <w:szCs w:val="24"/>
          <w:lang w:val="en-US"/>
        </w:rPr>
        <w:t>increasing the</w:t>
      </w:r>
      <w:r w:rsidR="00347249" w:rsidRPr="00440ACB">
        <w:rPr>
          <w:bCs/>
          <w:sz w:val="24"/>
          <w:szCs w:val="24"/>
          <w:lang w:val="en-US"/>
        </w:rPr>
        <w:t xml:space="preserve"> number of</w:t>
      </w:r>
      <w:r w:rsidRPr="00440ACB">
        <w:rPr>
          <w:bCs/>
          <w:sz w:val="24"/>
          <w:szCs w:val="24"/>
          <w:lang w:val="en-US"/>
        </w:rPr>
        <w:t xml:space="preserve"> COVID-19 vaccination</w:t>
      </w:r>
      <w:r w:rsidR="00347249" w:rsidRPr="00440ACB">
        <w:rPr>
          <w:bCs/>
          <w:sz w:val="24"/>
          <w:szCs w:val="24"/>
          <w:lang w:val="en-US"/>
        </w:rPr>
        <w:t>s</w:t>
      </w:r>
      <w:r w:rsidRPr="00440ACB">
        <w:rPr>
          <w:bCs/>
          <w:sz w:val="24"/>
          <w:szCs w:val="24"/>
          <w:lang w:val="en-US"/>
        </w:rPr>
        <w:t xml:space="preserve"> </w:t>
      </w:r>
      <w:r w:rsidR="00347249" w:rsidRPr="00440ACB">
        <w:rPr>
          <w:bCs/>
          <w:sz w:val="24"/>
          <w:szCs w:val="24"/>
          <w:lang w:val="en-US"/>
        </w:rPr>
        <w:t>(thus</w:t>
      </w:r>
      <w:r w:rsidRPr="00440ACB">
        <w:rPr>
          <w:bCs/>
          <w:sz w:val="24"/>
          <w:szCs w:val="24"/>
          <w:lang w:val="en-US"/>
        </w:rPr>
        <w:t xml:space="preserve"> decreas</w:t>
      </w:r>
      <w:r w:rsidR="00347249" w:rsidRPr="00440ACB">
        <w:rPr>
          <w:bCs/>
          <w:sz w:val="24"/>
          <w:szCs w:val="24"/>
          <w:lang w:val="en-US"/>
        </w:rPr>
        <w:t xml:space="preserve">ing </w:t>
      </w:r>
      <w:r w:rsidR="00E215C6" w:rsidRPr="00440ACB">
        <w:rPr>
          <w:bCs/>
          <w:sz w:val="24"/>
          <w:szCs w:val="24"/>
          <w:lang w:val="en-US"/>
        </w:rPr>
        <w:t>the hospitalization</w:t>
      </w:r>
      <w:r w:rsidRPr="00440ACB">
        <w:rPr>
          <w:bCs/>
          <w:sz w:val="24"/>
          <w:szCs w:val="24"/>
          <w:lang w:val="en-US"/>
        </w:rPr>
        <w:t xml:space="preserve"> rates</w:t>
      </w:r>
      <w:r w:rsidR="00347249" w:rsidRPr="00440ACB">
        <w:rPr>
          <w:bCs/>
          <w:sz w:val="24"/>
          <w:szCs w:val="24"/>
          <w:lang w:val="en-US"/>
        </w:rPr>
        <w:t>)</w:t>
      </w:r>
      <w:r w:rsidR="00160610" w:rsidRPr="00440ACB">
        <w:rPr>
          <w:bCs/>
          <w:sz w:val="24"/>
          <w:szCs w:val="24"/>
          <w:lang w:val="en-US"/>
        </w:rPr>
        <w:t>.</w:t>
      </w:r>
    </w:p>
    <w:p w14:paraId="415D4427" w14:textId="77777777" w:rsidR="00500CC9" w:rsidRPr="00440ACB" w:rsidRDefault="00ED5378" w:rsidP="00500CC9">
      <w:pPr>
        <w:spacing w:line="480" w:lineRule="auto"/>
        <w:ind w:left="720"/>
        <w:jc w:val="both"/>
        <w:rPr>
          <w:color w:val="000000" w:themeColor="text1"/>
          <w:sz w:val="24"/>
          <w:szCs w:val="24"/>
          <w:lang w:val="en-US"/>
        </w:rPr>
      </w:pPr>
      <w:r w:rsidRPr="00440ACB">
        <w:rPr>
          <w:color w:val="000000" w:themeColor="text1"/>
          <w:sz w:val="24"/>
          <w:szCs w:val="24"/>
          <w:lang w:val="en-US"/>
        </w:rPr>
        <w:t>4)</w:t>
      </w:r>
      <w:r w:rsidR="00582D89" w:rsidRPr="00440ACB">
        <w:rPr>
          <w:color w:val="000000" w:themeColor="text1"/>
          <w:sz w:val="24"/>
          <w:szCs w:val="24"/>
          <w:lang w:val="en-US"/>
        </w:rPr>
        <w:t xml:space="preserve"> Low rates of COVID-19 vaccination</w:t>
      </w:r>
      <w:r w:rsidR="004330CF" w:rsidRPr="00440ACB">
        <w:rPr>
          <w:color w:val="000000" w:themeColor="text1"/>
          <w:sz w:val="24"/>
          <w:szCs w:val="24"/>
          <w:lang w:val="en-US"/>
        </w:rPr>
        <w:t>s</w:t>
      </w:r>
      <w:r w:rsidR="00582D89" w:rsidRPr="00440ACB">
        <w:rPr>
          <w:color w:val="000000" w:themeColor="text1"/>
          <w:sz w:val="24"/>
          <w:szCs w:val="24"/>
          <w:lang w:val="en-US"/>
        </w:rPr>
        <w:t xml:space="preserve"> </w:t>
      </w:r>
      <w:r w:rsidR="004330CF" w:rsidRPr="00440ACB">
        <w:rPr>
          <w:color w:val="000000" w:themeColor="text1"/>
          <w:sz w:val="24"/>
          <w:szCs w:val="24"/>
          <w:lang w:val="en-US"/>
        </w:rPr>
        <w:t xml:space="preserve">and </w:t>
      </w:r>
      <w:r w:rsidR="00160610" w:rsidRPr="00440ACB">
        <w:rPr>
          <w:color w:val="000000" w:themeColor="text1"/>
          <w:sz w:val="24"/>
          <w:szCs w:val="24"/>
          <w:lang w:val="en-US"/>
        </w:rPr>
        <w:t xml:space="preserve">an </w:t>
      </w:r>
      <w:r w:rsidR="004330CF" w:rsidRPr="00440ACB">
        <w:rPr>
          <w:color w:val="000000" w:themeColor="text1"/>
          <w:sz w:val="24"/>
          <w:szCs w:val="24"/>
          <w:lang w:val="en-US"/>
        </w:rPr>
        <w:t>overconsumption of antibiotics</w:t>
      </w:r>
      <w:r w:rsidR="003753F5" w:rsidRPr="00440ACB">
        <w:rPr>
          <w:color w:val="000000" w:themeColor="text1"/>
          <w:sz w:val="24"/>
          <w:szCs w:val="24"/>
          <w:lang w:val="en-US"/>
        </w:rPr>
        <w:t xml:space="preserve"> in </w:t>
      </w:r>
      <w:r w:rsidR="00160610" w:rsidRPr="00440ACB">
        <w:rPr>
          <w:color w:val="000000" w:themeColor="text1"/>
          <w:sz w:val="24"/>
          <w:szCs w:val="24"/>
          <w:lang w:val="en-US"/>
        </w:rPr>
        <w:t xml:space="preserve">the </w:t>
      </w:r>
      <w:r w:rsidR="003753F5" w:rsidRPr="00440ACB">
        <w:rPr>
          <w:color w:val="000000" w:themeColor="text1"/>
          <w:sz w:val="24"/>
          <w:szCs w:val="24"/>
          <w:lang w:val="en-US"/>
        </w:rPr>
        <w:t>community</w:t>
      </w:r>
      <w:r w:rsidR="004330CF" w:rsidRPr="00440ACB">
        <w:rPr>
          <w:color w:val="000000" w:themeColor="text1"/>
          <w:sz w:val="24"/>
          <w:szCs w:val="24"/>
          <w:lang w:val="en-US"/>
        </w:rPr>
        <w:t xml:space="preserve"> may</w:t>
      </w:r>
      <w:r w:rsidR="00E663D8" w:rsidRPr="00440ACB">
        <w:rPr>
          <w:color w:val="000000" w:themeColor="text1"/>
          <w:sz w:val="24"/>
          <w:szCs w:val="24"/>
          <w:lang w:val="en-US"/>
        </w:rPr>
        <w:t xml:space="preserve"> significantly</w:t>
      </w:r>
      <w:r w:rsidR="004330CF" w:rsidRPr="00440ACB">
        <w:rPr>
          <w:color w:val="000000" w:themeColor="text1"/>
          <w:sz w:val="24"/>
          <w:szCs w:val="24"/>
          <w:lang w:val="en-US"/>
        </w:rPr>
        <w:t xml:space="preserve"> increase of antimicrobial resistance in patients with UTIs</w:t>
      </w:r>
      <w:r w:rsidR="00E663D8" w:rsidRPr="00440ACB">
        <w:rPr>
          <w:color w:val="000000" w:themeColor="text1"/>
          <w:sz w:val="24"/>
          <w:szCs w:val="24"/>
          <w:lang w:val="en-US"/>
        </w:rPr>
        <w:t xml:space="preserve"> alone or in association with SARS-CoV-2 infection</w:t>
      </w:r>
      <w:r w:rsidR="00160610" w:rsidRPr="00440ACB">
        <w:rPr>
          <w:color w:val="000000" w:themeColor="text1"/>
          <w:sz w:val="24"/>
          <w:szCs w:val="24"/>
          <w:lang w:val="en-US"/>
        </w:rPr>
        <w:t>.</w:t>
      </w:r>
    </w:p>
    <w:p w14:paraId="23CEB939" w14:textId="01CDE0F7" w:rsidR="00160610" w:rsidRPr="00440ACB" w:rsidRDefault="00EB168B" w:rsidP="00500CC9">
      <w:pPr>
        <w:spacing w:line="480" w:lineRule="auto"/>
        <w:ind w:left="720"/>
        <w:jc w:val="both"/>
        <w:rPr>
          <w:b/>
          <w:color w:val="000000" w:themeColor="text1"/>
          <w:sz w:val="24"/>
          <w:szCs w:val="24"/>
          <w:lang w:val="en-US"/>
        </w:rPr>
      </w:pPr>
      <w:r w:rsidRPr="00440ACB">
        <w:rPr>
          <w:b/>
          <w:sz w:val="24"/>
          <w:szCs w:val="24"/>
          <w:lang w:val="en-US"/>
        </w:rPr>
        <w:t>Conclusions</w:t>
      </w:r>
    </w:p>
    <w:p w14:paraId="4CA486E3" w14:textId="77777777" w:rsidR="00160610" w:rsidRPr="00160610" w:rsidRDefault="00095303" w:rsidP="00160610">
      <w:pPr>
        <w:spacing w:line="480" w:lineRule="auto"/>
        <w:ind w:left="720"/>
        <w:jc w:val="both"/>
        <w:rPr>
          <w:color w:val="000000" w:themeColor="text1"/>
          <w:sz w:val="24"/>
          <w:szCs w:val="24"/>
          <w:lang w:val="en-US"/>
        </w:rPr>
      </w:pPr>
      <w:r w:rsidRPr="00160610">
        <w:rPr>
          <w:bCs/>
          <w:sz w:val="24"/>
          <w:szCs w:val="24"/>
          <w:lang w:val="en-US"/>
        </w:rPr>
        <w:t xml:space="preserve">The development of unified reliable </w:t>
      </w:r>
      <w:r w:rsidR="00347249" w:rsidRPr="00160610">
        <w:rPr>
          <w:bCs/>
          <w:sz w:val="24"/>
          <w:szCs w:val="24"/>
          <w:lang w:val="en-US"/>
        </w:rPr>
        <w:t xml:space="preserve">guidelines for </w:t>
      </w:r>
      <w:r w:rsidRPr="00160610">
        <w:rPr>
          <w:bCs/>
          <w:sz w:val="24"/>
          <w:szCs w:val="24"/>
          <w:lang w:val="en-US"/>
        </w:rPr>
        <w:t xml:space="preserve">antibiotic </w:t>
      </w:r>
      <w:r w:rsidR="00347249" w:rsidRPr="00160610">
        <w:rPr>
          <w:bCs/>
          <w:sz w:val="24"/>
          <w:szCs w:val="24"/>
          <w:lang w:val="en-US"/>
        </w:rPr>
        <w:t>therapy</w:t>
      </w:r>
      <w:r w:rsidRPr="00160610">
        <w:rPr>
          <w:bCs/>
          <w:sz w:val="24"/>
          <w:szCs w:val="24"/>
          <w:lang w:val="en-US"/>
        </w:rPr>
        <w:t xml:space="preserve"> </w:t>
      </w:r>
      <w:r w:rsidR="00EF60F6" w:rsidRPr="00160610">
        <w:rPr>
          <w:bCs/>
          <w:sz w:val="24"/>
          <w:szCs w:val="24"/>
          <w:lang w:val="en-US"/>
        </w:rPr>
        <w:t xml:space="preserve">including the </w:t>
      </w:r>
      <w:r w:rsidRPr="00160610">
        <w:rPr>
          <w:bCs/>
          <w:sz w:val="24"/>
          <w:szCs w:val="24"/>
          <w:lang w:val="en-US"/>
        </w:rPr>
        <w:t xml:space="preserve">treatment </w:t>
      </w:r>
      <w:r w:rsidR="00347249" w:rsidRPr="00160610">
        <w:rPr>
          <w:bCs/>
          <w:sz w:val="24"/>
          <w:szCs w:val="24"/>
          <w:lang w:val="en-US"/>
        </w:rPr>
        <w:t xml:space="preserve">of </w:t>
      </w:r>
      <w:r w:rsidRPr="00160610">
        <w:rPr>
          <w:bCs/>
          <w:sz w:val="24"/>
          <w:szCs w:val="24"/>
          <w:lang w:val="en-US"/>
        </w:rPr>
        <w:t xml:space="preserve">UTIs </w:t>
      </w:r>
      <w:r w:rsidR="00347249" w:rsidRPr="00160610">
        <w:rPr>
          <w:bCs/>
          <w:sz w:val="24"/>
          <w:szCs w:val="24"/>
          <w:lang w:val="en-US"/>
        </w:rPr>
        <w:t>as single clinical event</w:t>
      </w:r>
      <w:r w:rsidRPr="00160610">
        <w:rPr>
          <w:bCs/>
          <w:sz w:val="24"/>
          <w:szCs w:val="24"/>
          <w:lang w:val="en-US"/>
        </w:rPr>
        <w:t xml:space="preserve"> </w:t>
      </w:r>
      <w:r w:rsidR="00347249" w:rsidRPr="00160610">
        <w:rPr>
          <w:bCs/>
          <w:sz w:val="24"/>
          <w:szCs w:val="24"/>
          <w:lang w:val="en-US"/>
        </w:rPr>
        <w:t>or in association w</w:t>
      </w:r>
      <w:r w:rsidRPr="00160610">
        <w:rPr>
          <w:bCs/>
          <w:sz w:val="24"/>
          <w:szCs w:val="24"/>
          <w:lang w:val="en-US"/>
        </w:rPr>
        <w:t>ith SARS-CoV-2 infection</w:t>
      </w:r>
      <w:r w:rsidR="00347249" w:rsidRPr="00160610">
        <w:rPr>
          <w:bCs/>
          <w:sz w:val="24"/>
          <w:szCs w:val="24"/>
          <w:lang w:val="en-US"/>
        </w:rPr>
        <w:t xml:space="preserve"> and</w:t>
      </w:r>
      <w:r w:rsidR="00EF60F6" w:rsidRPr="00160610">
        <w:rPr>
          <w:bCs/>
          <w:sz w:val="24"/>
          <w:szCs w:val="24"/>
          <w:lang w:val="en-US"/>
        </w:rPr>
        <w:t xml:space="preserve"> </w:t>
      </w:r>
      <w:r w:rsidR="00347249" w:rsidRPr="00160610">
        <w:rPr>
          <w:bCs/>
          <w:sz w:val="24"/>
          <w:szCs w:val="24"/>
          <w:lang w:val="en-US"/>
        </w:rPr>
        <w:t>an increased rate of</w:t>
      </w:r>
      <w:r w:rsidR="00EF60F6" w:rsidRPr="00160610">
        <w:rPr>
          <w:bCs/>
          <w:sz w:val="24"/>
          <w:szCs w:val="24"/>
          <w:lang w:val="en-US"/>
        </w:rPr>
        <w:t xml:space="preserve"> COVID-19 vaccinat</w:t>
      </w:r>
      <w:r w:rsidR="00347249" w:rsidRPr="00160610">
        <w:rPr>
          <w:bCs/>
          <w:sz w:val="24"/>
          <w:szCs w:val="24"/>
          <w:lang w:val="en-US"/>
        </w:rPr>
        <w:t>ed patients</w:t>
      </w:r>
      <w:r w:rsidR="00EF60F6" w:rsidRPr="00160610">
        <w:rPr>
          <w:bCs/>
          <w:sz w:val="24"/>
          <w:szCs w:val="24"/>
          <w:lang w:val="en-US"/>
        </w:rPr>
        <w:t xml:space="preserve"> </w:t>
      </w:r>
      <w:r w:rsidR="00347249" w:rsidRPr="00160610">
        <w:rPr>
          <w:bCs/>
          <w:sz w:val="24"/>
          <w:szCs w:val="24"/>
          <w:lang w:val="en-US"/>
        </w:rPr>
        <w:t xml:space="preserve">could represent the best way to </w:t>
      </w:r>
      <w:r w:rsidR="00EF60F6" w:rsidRPr="00160610">
        <w:rPr>
          <w:bCs/>
          <w:sz w:val="24"/>
          <w:szCs w:val="24"/>
          <w:lang w:val="en-US"/>
        </w:rPr>
        <w:t xml:space="preserve">decrease </w:t>
      </w:r>
      <w:r w:rsidR="002530D6" w:rsidRPr="00160610">
        <w:rPr>
          <w:bCs/>
          <w:sz w:val="24"/>
          <w:szCs w:val="24"/>
          <w:lang w:val="en-US"/>
        </w:rPr>
        <w:t xml:space="preserve">the rates of antimicrobial resistance of the commonly used antibiotic for treatment UTI. </w:t>
      </w:r>
    </w:p>
    <w:p w14:paraId="5ED7A1BB" w14:textId="77777777" w:rsidR="00160610" w:rsidRDefault="00942DB9" w:rsidP="00160610">
      <w:pPr>
        <w:spacing w:line="480" w:lineRule="auto"/>
        <w:ind w:left="720"/>
        <w:jc w:val="both"/>
        <w:rPr>
          <w:b/>
          <w:color w:val="000000" w:themeColor="text1"/>
          <w:sz w:val="24"/>
          <w:szCs w:val="24"/>
          <w:lang w:val="en-US"/>
        </w:rPr>
      </w:pPr>
      <w:r w:rsidRPr="00942DB9">
        <w:rPr>
          <w:b/>
          <w:sz w:val="24"/>
          <w:szCs w:val="24"/>
          <w:lang w:val="en-US"/>
        </w:rPr>
        <w:t xml:space="preserve">Declarations </w:t>
      </w:r>
    </w:p>
    <w:p w14:paraId="11647906" w14:textId="0ECA60D8" w:rsidR="00160610" w:rsidRPr="00EB02F6" w:rsidRDefault="00942DB9" w:rsidP="00160610">
      <w:pPr>
        <w:spacing w:line="480" w:lineRule="auto"/>
        <w:ind w:left="720"/>
        <w:jc w:val="both"/>
        <w:rPr>
          <w:sz w:val="24"/>
          <w:szCs w:val="24"/>
          <w:lang w:val="en-US"/>
        </w:rPr>
      </w:pPr>
      <w:r w:rsidRPr="00EB02F6">
        <w:rPr>
          <w:b/>
          <w:sz w:val="24"/>
          <w:szCs w:val="24"/>
          <w:lang w:val="en-US"/>
        </w:rPr>
        <w:t>Authors’ contributions:</w:t>
      </w:r>
      <w:r w:rsidR="009578A3" w:rsidRPr="00EB02F6">
        <w:rPr>
          <w:b/>
          <w:sz w:val="24"/>
          <w:szCs w:val="24"/>
          <w:lang w:val="en-US"/>
        </w:rPr>
        <w:t xml:space="preserve"> </w:t>
      </w:r>
      <w:r w:rsidR="009578A3" w:rsidRPr="00EB02F6">
        <w:rPr>
          <w:sz w:val="24"/>
          <w:szCs w:val="24"/>
          <w:lang w:val="en-US"/>
        </w:rPr>
        <w:t>Made</w:t>
      </w:r>
      <w:r w:rsidRPr="00EB02F6">
        <w:rPr>
          <w:sz w:val="24"/>
          <w:szCs w:val="24"/>
          <w:lang w:val="en-US"/>
        </w:rPr>
        <w:t xml:space="preserve"> </w:t>
      </w:r>
      <w:r w:rsidR="009578A3" w:rsidRPr="00EB02F6">
        <w:rPr>
          <w:sz w:val="24"/>
          <w:szCs w:val="24"/>
          <w:lang w:val="en-US"/>
        </w:rPr>
        <w:t>a contribution</w:t>
      </w:r>
      <w:r w:rsidR="00EC2DB1" w:rsidRPr="00EB02F6">
        <w:rPr>
          <w:sz w:val="24"/>
          <w:szCs w:val="24"/>
          <w:lang w:val="en-US"/>
        </w:rPr>
        <w:t xml:space="preserve"> to the study conception</w:t>
      </w:r>
      <w:r w:rsidR="009578A3" w:rsidRPr="00EB02F6">
        <w:rPr>
          <w:sz w:val="24"/>
          <w:szCs w:val="24"/>
          <w:lang w:val="en-US"/>
        </w:rPr>
        <w:t xml:space="preserve"> and </w:t>
      </w:r>
      <w:proofErr w:type="gramStart"/>
      <w:r w:rsidR="009578A3" w:rsidRPr="00EB02F6">
        <w:rPr>
          <w:sz w:val="24"/>
          <w:szCs w:val="24"/>
          <w:lang w:val="en-US"/>
        </w:rPr>
        <w:t>design :</w:t>
      </w:r>
      <w:proofErr w:type="gramEnd"/>
      <w:r w:rsidR="009578A3" w:rsidRPr="00EB02F6">
        <w:rPr>
          <w:sz w:val="24"/>
          <w:szCs w:val="24"/>
          <w:lang w:val="en-US"/>
        </w:rPr>
        <w:t xml:space="preserve"> </w:t>
      </w:r>
      <w:proofErr w:type="spellStart"/>
      <w:r w:rsidR="009578A3" w:rsidRPr="00EB02F6">
        <w:rPr>
          <w:sz w:val="24"/>
          <w:szCs w:val="24"/>
          <w:lang w:val="en-US"/>
        </w:rPr>
        <w:t>Krakhotkin</w:t>
      </w:r>
      <w:proofErr w:type="spellEnd"/>
      <w:r w:rsidR="009578A3" w:rsidRPr="00EB02F6">
        <w:rPr>
          <w:sz w:val="24"/>
          <w:szCs w:val="24"/>
          <w:lang w:val="en-US"/>
        </w:rPr>
        <w:t xml:space="preserve"> </w:t>
      </w:r>
      <w:r w:rsidR="00870432">
        <w:rPr>
          <w:sz w:val="24"/>
          <w:szCs w:val="24"/>
          <w:lang w:val="en-US"/>
        </w:rPr>
        <w:t xml:space="preserve">D.V and </w:t>
      </w:r>
      <w:proofErr w:type="spellStart"/>
      <w:r w:rsidR="009578A3" w:rsidRPr="00EB02F6">
        <w:rPr>
          <w:sz w:val="24"/>
          <w:szCs w:val="24"/>
          <w:lang w:val="en-US"/>
        </w:rPr>
        <w:t>Chernylovskyi</w:t>
      </w:r>
      <w:proofErr w:type="spellEnd"/>
      <w:r w:rsidR="00870432">
        <w:rPr>
          <w:sz w:val="24"/>
          <w:szCs w:val="24"/>
          <w:lang w:val="en-US"/>
        </w:rPr>
        <w:t xml:space="preserve"> V.A.</w:t>
      </w:r>
    </w:p>
    <w:p w14:paraId="251F0C42" w14:textId="17DD70B3" w:rsidR="009578A3" w:rsidRPr="00EB02F6" w:rsidRDefault="009578A3" w:rsidP="00160610">
      <w:pPr>
        <w:spacing w:line="480" w:lineRule="auto"/>
        <w:ind w:left="720"/>
        <w:jc w:val="both"/>
        <w:rPr>
          <w:sz w:val="24"/>
          <w:szCs w:val="24"/>
          <w:lang w:val="en-US"/>
        </w:rPr>
      </w:pPr>
      <w:r w:rsidRPr="00EB02F6">
        <w:rPr>
          <w:sz w:val="24"/>
          <w:szCs w:val="24"/>
          <w:lang w:val="en-US"/>
        </w:rPr>
        <w:t xml:space="preserve">Critical </w:t>
      </w:r>
      <w:proofErr w:type="gramStart"/>
      <w:r w:rsidRPr="00EB02F6">
        <w:rPr>
          <w:sz w:val="24"/>
          <w:szCs w:val="24"/>
          <w:lang w:val="en-US"/>
        </w:rPr>
        <w:t>revision  of</w:t>
      </w:r>
      <w:proofErr w:type="gramEnd"/>
      <w:r w:rsidRPr="00EB02F6">
        <w:rPr>
          <w:sz w:val="24"/>
          <w:szCs w:val="24"/>
          <w:lang w:val="en-US"/>
        </w:rPr>
        <w:t xml:space="preserve">  the manuscript and editing:</w:t>
      </w:r>
      <w:r w:rsidRPr="00EB02F6">
        <w:rPr>
          <w:b/>
          <w:sz w:val="24"/>
          <w:szCs w:val="24"/>
          <w:lang w:val="en-US"/>
        </w:rPr>
        <w:t xml:space="preserve"> </w:t>
      </w:r>
      <w:r w:rsidRPr="00EB02F6">
        <w:rPr>
          <w:sz w:val="24"/>
          <w:szCs w:val="24"/>
          <w:lang w:val="en-US"/>
        </w:rPr>
        <w:t xml:space="preserve">Francesco Greco and </w:t>
      </w:r>
      <w:proofErr w:type="spellStart"/>
      <w:r w:rsidRPr="00EB02F6">
        <w:rPr>
          <w:sz w:val="24"/>
          <w:szCs w:val="24"/>
          <w:lang w:val="en-US"/>
        </w:rPr>
        <w:t>Shuhrat</w:t>
      </w:r>
      <w:proofErr w:type="spellEnd"/>
      <w:r w:rsidRPr="00EB02F6">
        <w:rPr>
          <w:sz w:val="24"/>
          <w:szCs w:val="24"/>
          <w:lang w:val="en-US"/>
        </w:rPr>
        <w:t xml:space="preserve"> M. </w:t>
      </w:r>
      <w:proofErr w:type="spellStart"/>
      <w:r w:rsidRPr="00EB02F6">
        <w:rPr>
          <w:sz w:val="24"/>
          <w:szCs w:val="24"/>
          <w:lang w:val="en-US"/>
        </w:rPr>
        <w:t>Halilov</w:t>
      </w:r>
      <w:proofErr w:type="spellEnd"/>
    </w:p>
    <w:p w14:paraId="2C8A9510" w14:textId="77777777" w:rsidR="009578A3" w:rsidRPr="009578A3" w:rsidRDefault="009578A3" w:rsidP="00160610">
      <w:pPr>
        <w:spacing w:line="480" w:lineRule="auto"/>
        <w:ind w:left="720"/>
        <w:jc w:val="both"/>
        <w:rPr>
          <w:b/>
          <w:color w:val="000000" w:themeColor="text1"/>
          <w:sz w:val="24"/>
          <w:szCs w:val="24"/>
          <w:lang w:val="en-US"/>
        </w:rPr>
      </w:pPr>
    </w:p>
    <w:p w14:paraId="568398D8" w14:textId="77777777" w:rsidR="00160610" w:rsidRDefault="00942DB9" w:rsidP="00160610">
      <w:pPr>
        <w:spacing w:line="480" w:lineRule="auto"/>
        <w:ind w:left="720"/>
        <w:jc w:val="both"/>
        <w:rPr>
          <w:b/>
          <w:color w:val="000000" w:themeColor="text1"/>
          <w:sz w:val="24"/>
          <w:szCs w:val="24"/>
          <w:lang w:val="en-US"/>
        </w:rPr>
      </w:pPr>
      <w:r w:rsidRPr="00942DB9">
        <w:rPr>
          <w:b/>
          <w:sz w:val="24"/>
          <w:szCs w:val="24"/>
          <w:lang w:val="en-US"/>
        </w:rPr>
        <w:t>Availability of data and materials:</w:t>
      </w:r>
      <w:r w:rsidRPr="00942DB9">
        <w:rPr>
          <w:sz w:val="24"/>
          <w:szCs w:val="24"/>
          <w:lang w:val="en-US"/>
        </w:rPr>
        <w:t xml:space="preserve"> Not applicable. </w:t>
      </w:r>
    </w:p>
    <w:p w14:paraId="118B831E" w14:textId="77777777" w:rsidR="00160610" w:rsidRDefault="00942DB9" w:rsidP="00160610">
      <w:pPr>
        <w:spacing w:line="480" w:lineRule="auto"/>
        <w:ind w:left="720"/>
        <w:jc w:val="both"/>
        <w:rPr>
          <w:b/>
          <w:color w:val="000000" w:themeColor="text1"/>
          <w:sz w:val="24"/>
          <w:szCs w:val="24"/>
          <w:lang w:val="en-US"/>
        </w:rPr>
      </w:pPr>
      <w:r w:rsidRPr="00942DB9">
        <w:rPr>
          <w:b/>
          <w:sz w:val="24"/>
          <w:szCs w:val="24"/>
          <w:lang w:val="en-US"/>
        </w:rPr>
        <w:t>Financial support and sponsorship</w:t>
      </w:r>
      <w:r w:rsidRPr="00942DB9">
        <w:rPr>
          <w:sz w:val="24"/>
          <w:szCs w:val="24"/>
          <w:lang w:val="en-US"/>
        </w:rPr>
        <w:t xml:space="preserve">: None. </w:t>
      </w:r>
    </w:p>
    <w:p w14:paraId="3031D7E9" w14:textId="77777777" w:rsidR="00160610" w:rsidRDefault="00942DB9" w:rsidP="00160610">
      <w:pPr>
        <w:spacing w:line="480" w:lineRule="auto"/>
        <w:ind w:left="720"/>
        <w:jc w:val="both"/>
        <w:rPr>
          <w:b/>
          <w:color w:val="000000" w:themeColor="text1"/>
          <w:sz w:val="24"/>
          <w:szCs w:val="24"/>
          <w:lang w:val="en-US"/>
        </w:rPr>
      </w:pPr>
      <w:r w:rsidRPr="00942DB9">
        <w:rPr>
          <w:b/>
          <w:sz w:val="24"/>
          <w:szCs w:val="24"/>
          <w:lang w:val="en-US"/>
        </w:rPr>
        <w:t>Conflicts of interest:</w:t>
      </w:r>
      <w:r>
        <w:rPr>
          <w:sz w:val="24"/>
          <w:szCs w:val="24"/>
          <w:lang w:val="en-US"/>
        </w:rPr>
        <w:t xml:space="preserve"> </w:t>
      </w:r>
    </w:p>
    <w:p w14:paraId="0334E076" w14:textId="6D19CE85" w:rsidR="00160610" w:rsidRDefault="00EC2DB1" w:rsidP="00160610">
      <w:pPr>
        <w:spacing w:line="480" w:lineRule="auto"/>
        <w:ind w:left="720"/>
        <w:jc w:val="both"/>
        <w:rPr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Krakhotkin</w:t>
      </w:r>
      <w:proofErr w:type="spellEnd"/>
      <w:r>
        <w:rPr>
          <w:sz w:val="24"/>
          <w:szCs w:val="24"/>
          <w:lang w:val="en-US"/>
        </w:rPr>
        <w:t xml:space="preserve"> D.V, </w:t>
      </w:r>
      <w:proofErr w:type="spellStart"/>
      <w:r>
        <w:rPr>
          <w:sz w:val="24"/>
          <w:szCs w:val="24"/>
          <w:lang w:val="en-US"/>
        </w:rPr>
        <w:t>Chernylovskyi</w:t>
      </w:r>
      <w:proofErr w:type="spellEnd"/>
      <w:r>
        <w:rPr>
          <w:sz w:val="24"/>
          <w:szCs w:val="24"/>
          <w:lang w:val="en-US"/>
        </w:rPr>
        <w:t xml:space="preserve"> V.A and Francesco Greco are members of the Editorial Board of </w:t>
      </w:r>
      <w:proofErr w:type="spellStart"/>
      <w:r>
        <w:rPr>
          <w:sz w:val="24"/>
          <w:szCs w:val="24"/>
          <w:lang w:val="en-US"/>
        </w:rPr>
        <w:t>Uro</w:t>
      </w:r>
      <w:proofErr w:type="spellEnd"/>
      <w:r>
        <w:rPr>
          <w:sz w:val="24"/>
          <w:szCs w:val="24"/>
          <w:lang w:val="en-US"/>
        </w:rPr>
        <w:t>-Technology Journal.  All</w:t>
      </w:r>
      <w:r w:rsidR="00942DB9" w:rsidRPr="00942DB9">
        <w:rPr>
          <w:sz w:val="24"/>
          <w:szCs w:val="24"/>
          <w:lang w:val="en-US"/>
        </w:rPr>
        <w:t xml:space="preserve"> author</w:t>
      </w:r>
      <w:r>
        <w:rPr>
          <w:sz w:val="24"/>
          <w:szCs w:val="24"/>
          <w:lang w:val="en-US"/>
        </w:rPr>
        <w:t>s declare they have</w:t>
      </w:r>
      <w:r w:rsidR="00942DB9" w:rsidRPr="00942DB9">
        <w:rPr>
          <w:sz w:val="24"/>
          <w:szCs w:val="24"/>
          <w:lang w:val="en-US"/>
        </w:rPr>
        <w:t xml:space="preserve"> no conflict of interest. </w:t>
      </w:r>
    </w:p>
    <w:p w14:paraId="1E93C80A" w14:textId="77777777" w:rsidR="00160610" w:rsidRDefault="00942DB9" w:rsidP="00160610">
      <w:pPr>
        <w:spacing w:line="480" w:lineRule="auto"/>
        <w:ind w:left="720"/>
        <w:jc w:val="both"/>
        <w:rPr>
          <w:b/>
          <w:color w:val="000000" w:themeColor="text1"/>
          <w:sz w:val="24"/>
          <w:szCs w:val="24"/>
          <w:lang w:val="en-US"/>
        </w:rPr>
      </w:pPr>
      <w:r w:rsidRPr="00942DB9">
        <w:rPr>
          <w:b/>
          <w:sz w:val="24"/>
          <w:szCs w:val="24"/>
          <w:lang w:val="en-US"/>
        </w:rPr>
        <w:t>Ethical approval and consent to participate:</w:t>
      </w:r>
      <w:r w:rsidRPr="00942DB9">
        <w:rPr>
          <w:sz w:val="24"/>
          <w:szCs w:val="24"/>
          <w:lang w:val="en-US"/>
        </w:rPr>
        <w:t xml:space="preserve"> Not applicable. </w:t>
      </w:r>
    </w:p>
    <w:p w14:paraId="266DF1D1" w14:textId="77777777" w:rsidR="00160610" w:rsidRDefault="00942DB9" w:rsidP="00160610">
      <w:pPr>
        <w:spacing w:line="480" w:lineRule="auto"/>
        <w:ind w:left="720"/>
        <w:jc w:val="both"/>
        <w:rPr>
          <w:b/>
          <w:color w:val="000000" w:themeColor="text1"/>
          <w:sz w:val="24"/>
          <w:szCs w:val="24"/>
          <w:lang w:val="en-US"/>
        </w:rPr>
      </w:pPr>
      <w:r w:rsidRPr="00942DB9">
        <w:rPr>
          <w:b/>
          <w:sz w:val="24"/>
          <w:szCs w:val="24"/>
          <w:lang w:val="en-US"/>
        </w:rPr>
        <w:t>Consent for publication:</w:t>
      </w:r>
      <w:r w:rsidRPr="00942DB9">
        <w:rPr>
          <w:sz w:val="24"/>
          <w:szCs w:val="24"/>
          <w:lang w:val="en-US"/>
        </w:rPr>
        <w:t xml:space="preserve"> Not applicable.</w:t>
      </w:r>
    </w:p>
    <w:p w14:paraId="2B870F07" w14:textId="63CC5B06" w:rsidR="001F7D5D" w:rsidRPr="001127CE" w:rsidRDefault="001F7D5D" w:rsidP="001127CE">
      <w:pPr>
        <w:spacing w:line="480" w:lineRule="auto"/>
        <w:ind w:left="720"/>
        <w:jc w:val="both"/>
        <w:rPr>
          <w:b/>
          <w:color w:val="000000" w:themeColor="text1"/>
          <w:sz w:val="24"/>
          <w:szCs w:val="24"/>
          <w:lang w:val="en-US"/>
        </w:rPr>
      </w:pPr>
      <w:r w:rsidRPr="00976E9B">
        <w:rPr>
          <w:b/>
          <w:sz w:val="24"/>
          <w:szCs w:val="24"/>
          <w:lang w:val="en-US"/>
        </w:rPr>
        <w:t>References</w:t>
      </w:r>
    </w:p>
    <w:p w14:paraId="77584D04" w14:textId="27A47056" w:rsidR="00283F7A" w:rsidRPr="004A6CF5" w:rsidRDefault="00283F7A" w:rsidP="009775E6">
      <w:pPr>
        <w:pStyle w:val="a4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EF31EE">
        <w:rPr>
          <w:sz w:val="24"/>
          <w:szCs w:val="24"/>
          <w:lang w:val="en-US"/>
        </w:rPr>
        <w:t xml:space="preserve">Sharma A, Ahmad Farouk I, Lal SK. COVID-19: A Review on the Novel Coronavirus Disease Evolution, Transmission, Detection, Control and Prevention. </w:t>
      </w:r>
      <w:r w:rsidR="00714634">
        <w:rPr>
          <w:sz w:val="24"/>
          <w:szCs w:val="24"/>
          <w:lang w:val="en-US"/>
        </w:rPr>
        <w:t>Viruses. 2021</w:t>
      </w:r>
      <w:proofErr w:type="gramStart"/>
      <w:r w:rsidRPr="004A6CF5">
        <w:rPr>
          <w:sz w:val="24"/>
          <w:szCs w:val="24"/>
          <w:lang w:val="en-US"/>
        </w:rPr>
        <w:t>;13</w:t>
      </w:r>
      <w:proofErr w:type="gramEnd"/>
      <w:r w:rsidRPr="004A6CF5">
        <w:rPr>
          <w:sz w:val="24"/>
          <w:szCs w:val="24"/>
          <w:lang w:val="en-US"/>
        </w:rPr>
        <w:t>(</w:t>
      </w:r>
      <w:r w:rsidR="009775E6" w:rsidRPr="004A6CF5">
        <w:rPr>
          <w:sz w:val="24"/>
          <w:szCs w:val="24"/>
          <w:lang w:val="en-US"/>
        </w:rPr>
        <w:t xml:space="preserve">2):202. </w:t>
      </w:r>
    </w:p>
    <w:p w14:paraId="118F8B9E" w14:textId="5A974392" w:rsidR="009775E6" w:rsidRPr="00EF31EE" w:rsidRDefault="009775E6" w:rsidP="009775E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26FD9">
        <w:rPr>
          <w:sz w:val="24"/>
          <w:szCs w:val="24"/>
          <w:lang w:val="it-IT"/>
        </w:rPr>
        <w:t xml:space="preserve">Koelle K, Martin MA, Antia R, Lopman B, Dean NE. </w:t>
      </w:r>
      <w:r w:rsidRPr="00EF31EE">
        <w:rPr>
          <w:sz w:val="24"/>
          <w:szCs w:val="24"/>
          <w:lang w:val="en-US"/>
        </w:rPr>
        <w:t xml:space="preserve">The changing epidemiology of SARS-CoV-2. </w:t>
      </w:r>
      <w:proofErr w:type="spellStart"/>
      <w:r w:rsidRPr="00EF31EE">
        <w:rPr>
          <w:sz w:val="24"/>
          <w:szCs w:val="24"/>
        </w:rPr>
        <w:t>Science</w:t>
      </w:r>
      <w:proofErr w:type="spellEnd"/>
      <w:r w:rsidRPr="00EF31EE">
        <w:rPr>
          <w:sz w:val="24"/>
          <w:szCs w:val="24"/>
        </w:rPr>
        <w:t>. 2022;375(6585):1116-1121</w:t>
      </w:r>
    </w:p>
    <w:p w14:paraId="4AEBD4EF" w14:textId="689A16CC" w:rsidR="00AC21F2" w:rsidRPr="00EF31EE" w:rsidRDefault="00AC21F2" w:rsidP="009775E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F31EE">
        <w:rPr>
          <w:sz w:val="24"/>
          <w:szCs w:val="24"/>
          <w:lang w:val="en-US"/>
        </w:rPr>
        <w:t>Wrapp</w:t>
      </w:r>
      <w:proofErr w:type="spellEnd"/>
      <w:r w:rsidRPr="00714634">
        <w:rPr>
          <w:sz w:val="24"/>
          <w:szCs w:val="24"/>
          <w:lang w:val="en-US"/>
        </w:rPr>
        <w:t xml:space="preserve"> </w:t>
      </w:r>
      <w:r w:rsidRPr="00EF31EE">
        <w:rPr>
          <w:sz w:val="24"/>
          <w:szCs w:val="24"/>
          <w:lang w:val="en-US"/>
        </w:rPr>
        <w:t>D</w:t>
      </w:r>
      <w:r w:rsidRPr="00714634">
        <w:rPr>
          <w:sz w:val="24"/>
          <w:szCs w:val="24"/>
          <w:lang w:val="en-US"/>
        </w:rPr>
        <w:t xml:space="preserve">, </w:t>
      </w:r>
      <w:r w:rsidRPr="00EF31EE">
        <w:rPr>
          <w:sz w:val="24"/>
          <w:szCs w:val="24"/>
          <w:lang w:val="en-US"/>
        </w:rPr>
        <w:t>Wang</w:t>
      </w:r>
      <w:r w:rsidRPr="00714634">
        <w:rPr>
          <w:sz w:val="24"/>
          <w:szCs w:val="24"/>
          <w:lang w:val="en-US"/>
        </w:rPr>
        <w:t xml:space="preserve"> </w:t>
      </w:r>
      <w:r w:rsidRPr="00EF31EE">
        <w:rPr>
          <w:sz w:val="24"/>
          <w:szCs w:val="24"/>
          <w:lang w:val="en-US"/>
        </w:rPr>
        <w:t>N</w:t>
      </w:r>
      <w:r w:rsidRPr="00714634">
        <w:rPr>
          <w:sz w:val="24"/>
          <w:szCs w:val="24"/>
          <w:lang w:val="en-US"/>
        </w:rPr>
        <w:t xml:space="preserve">, </w:t>
      </w:r>
      <w:r w:rsidRPr="00EF31EE">
        <w:rPr>
          <w:sz w:val="24"/>
          <w:szCs w:val="24"/>
          <w:lang w:val="en-US"/>
        </w:rPr>
        <w:t>Corbett</w:t>
      </w:r>
      <w:r w:rsidRPr="00714634">
        <w:rPr>
          <w:sz w:val="24"/>
          <w:szCs w:val="24"/>
          <w:lang w:val="en-US"/>
        </w:rPr>
        <w:t xml:space="preserve"> </w:t>
      </w:r>
      <w:r w:rsidRPr="00EF31EE">
        <w:rPr>
          <w:sz w:val="24"/>
          <w:szCs w:val="24"/>
          <w:lang w:val="en-US"/>
        </w:rPr>
        <w:t>KS</w:t>
      </w:r>
      <w:r w:rsidRPr="00714634">
        <w:rPr>
          <w:sz w:val="24"/>
          <w:szCs w:val="24"/>
          <w:lang w:val="en-US"/>
        </w:rPr>
        <w:t xml:space="preserve">, </w:t>
      </w:r>
      <w:r w:rsidRPr="00EF31EE">
        <w:rPr>
          <w:sz w:val="24"/>
          <w:szCs w:val="24"/>
          <w:lang w:val="en-US"/>
        </w:rPr>
        <w:t>Goldsmith</w:t>
      </w:r>
      <w:r w:rsidRPr="00714634">
        <w:rPr>
          <w:sz w:val="24"/>
          <w:szCs w:val="24"/>
          <w:lang w:val="en-US"/>
        </w:rPr>
        <w:t xml:space="preserve"> </w:t>
      </w:r>
      <w:r w:rsidRPr="00EF31EE">
        <w:rPr>
          <w:sz w:val="24"/>
          <w:szCs w:val="24"/>
          <w:lang w:val="en-US"/>
        </w:rPr>
        <w:t>JA</w:t>
      </w:r>
      <w:r w:rsidRPr="00714634">
        <w:rPr>
          <w:sz w:val="24"/>
          <w:szCs w:val="24"/>
          <w:lang w:val="en-US"/>
        </w:rPr>
        <w:t xml:space="preserve">, </w:t>
      </w:r>
      <w:r w:rsidRPr="00EF31EE">
        <w:rPr>
          <w:sz w:val="24"/>
          <w:szCs w:val="24"/>
          <w:lang w:val="en-US"/>
        </w:rPr>
        <w:t>Hsieh</w:t>
      </w:r>
      <w:r w:rsidRPr="00714634">
        <w:rPr>
          <w:sz w:val="24"/>
          <w:szCs w:val="24"/>
          <w:lang w:val="en-US"/>
        </w:rPr>
        <w:t xml:space="preserve"> </w:t>
      </w:r>
      <w:r w:rsidRPr="00EF31EE">
        <w:rPr>
          <w:sz w:val="24"/>
          <w:szCs w:val="24"/>
          <w:lang w:val="en-US"/>
        </w:rPr>
        <w:t>CL</w:t>
      </w:r>
      <w:r w:rsidRPr="00714634">
        <w:rPr>
          <w:sz w:val="24"/>
          <w:szCs w:val="24"/>
          <w:lang w:val="en-US"/>
        </w:rPr>
        <w:t xml:space="preserve">, </w:t>
      </w:r>
      <w:proofErr w:type="spellStart"/>
      <w:r w:rsidRPr="00EF31EE">
        <w:rPr>
          <w:sz w:val="24"/>
          <w:szCs w:val="24"/>
          <w:lang w:val="en-US"/>
        </w:rPr>
        <w:t>Abiona</w:t>
      </w:r>
      <w:proofErr w:type="spellEnd"/>
      <w:r w:rsidRPr="00714634">
        <w:rPr>
          <w:sz w:val="24"/>
          <w:szCs w:val="24"/>
          <w:lang w:val="en-US"/>
        </w:rPr>
        <w:t xml:space="preserve"> </w:t>
      </w:r>
      <w:r w:rsidRPr="00EF31EE">
        <w:rPr>
          <w:sz w:val="24"/>
          <w:szCs w:val="24"/>
          <w:lang w:val="en-US"/>
        </w:rPr>
        <w:t>O</w:t>
      </w:r>
      <w:r w:rsidRPr="00714634">
        <w:rPr>
          <w:sz w:val="24"/>
          <w:szCs w:val="24"/>
          <w:lang w:val="en-US"/>
        </w:rPr>
        <w:t xml:space="preserve">, </w:t>
      </w:r>
      <w:r w:rsidRPr="00EF31EE">
        <w:rPr>
          <w:sz w:val="24"/>
          <w:szCs w:val="24"/>
          <w:lang w:val="en-US"/>
        </w:rPr>
        <w:t>Graham</w:t>
      </w:r>
      <w:r w:rsidRPr="00714634">
        <w:rPr>
          <w:sz w:val="24"/>
          <w:szCs w:val="24"/>
          <w:lang w:val="en-US"/>
        </w:rPr>
        <w:t xml:space="preserve"> </w:t>
      </w:r>
      <w:r w:rsidRPr="00EF31EE">
        <w:rPr>
          <w:sz w:val="24"/>
          <w:szCs w:val="24"/>
          <w:lang w:val="en-US"/>
        </w:rPr>
        <w:t>BS</w:t>
      </w:r>
      <w:r w:rsidRPr="00714634">
        <w:rPr>
          <w:sz w:val="24"/>
          <w:szCs w:val="24"/>
          <w:lang w:val="en-US"/>
        </w:rPr>
        <w:t xml:space="preserve">, </w:t>
      </w:r>
      <w:r w:rsidRPr="00EF31EE">
        <w:rPr>
          <w:sz w:val="24"/>
          <w:szCs w:val="24"/>
          <w:lang w:val="en-US"/>
        </w:rPr>
        <w:t>McLellan</w:t>
      </w:r>
      <w:r w:rsidRPr="00714634">
        <w:rPr>
          <w:sz w:val="24"/>
          <w:szCs w:val="24"/>
          <w:lang w:val="en-US"/>
        </w:rPr>
        <w:t xml:space="preserve"> </w:t>
      </w:r>
      <w:r w:rsidRPr="00EF31EE">
        <w:rPr>
          <w:sz w:val="24"/>
          <w:szCs w:val="24"/>
          <w:lang w:val="en-US"/>
        </w:rPr>
        <w:t>JS</w:t>
      </w:r>
      <w:r w:rsidRPr="00714634">
        <w:rPr>
          <w:sz w:val="24"/>
          <w:szCs w:val="24"/>
          <w:lang w:val="en-US"/>
        </w:rPr>
        <w:t xml:space="preserve">. </w:t>
      </w:r>
      <w:proofErr w:type="spellStart"/>
      <w:r w:rsidRPr="00EF31EE">
        <w:rPr>
          <w:sz w:val="24"/>
          <w:szCs w:val="24"/>
          <w:lang w:val="en-US"/>
        </w:rPr>
        <w:t>Cryo</w:t>
      </w:r>
      <w:proofErr w:type="spellEnd"/>
      <w:r w:rsidRPr="00EF31EE">
        <w:rPr>
          <w:sz w:val="24"/>
          <w:szCs w:val="24"/>
          <w:lang w:val="en-US"/>
        </w:rPr>
        <w:t xml:space="preserve">-EM structure of the 2019-nCoV spike in the </w:t>
      </w:r>
      <w:proofErr w:type="spellStart"/>
      <w:r w:rsidRPr="00EF31EE">
        <w:rPr>
          <w:sz w:val="24"/>
          <w:szCs w:val="24"/>
          <w:lang w:val="en-US"/>
        </w:rPr>
        <w:t>prefusion</w:t>
      </w:r>
      <w:proofErr w:type="spellEnd"/>
      <w:r w:rsidRPr="00EF31EE">
        <w:rPr>
          <w:sz w:val="24"/>
          <w:szCs w:val="24"/>
          <w:lang w:val="en-US"/>
        </w:rPr>
        <w:t xml:space="preserve"> conformation. </w:t>
      </w:r>
      <w:proofErr w:type="spellStart"/>
      <w:r w:rsidRPr="00EF31EE">
        <w:rPr>
          <w:sz w:val="24"/>
          <w:szCs w:val="24"/>
        </w:rPr>
        <w:t>Science</w:t>
      </w:r>
      <w:proofErr w:type="spellEnd"/>
      <w:r w:rsidRPr="00EF31EE">
        <w:rPr>
          <w:sz w:val="24"/>
          <w:szCs w:val="24"/>
        </w:rPr>
        <w:t xml:space="preserve">. 2020;367(6483):1260-1263. </w:t>
      </w:r>
    </w:p>
    <w:p w14:paraId="5454B8ED" w14:textId="4C396C5C" w:rsidR="00631789" w:rsidRPr="00714634" w:rsidRDefault="00631789" w:rsidP="009775E6">
      <w:pPr>
        <w:pStyle w:val="a4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EF31EE">
        <w:rPr>
          <w:sz w:val="24"/>
          <w:szCs w:val="24"/>
          <w:lang w:val="en-US"/>
        </w:rPr>
        <w:t>Mohamadian</w:t>
      </w:r>
      <w:proofErr w:type="spellEnd"/>
      <w:r w:rsidRPr="00EF31EE">
        <w:rPr>
          <w:sz w:val="24"/>
          <w:szCs w:val="24"/>
          <w:lang w:val="en-US"/>
        </w:rPr>
        <w:t xml:space="preserve"> M, </w:t>
      </w:r>
      <w:proofErr w:type="spellStart"/>
      <w:r w:rsidRPr="00EF31EE">
        <w:rPr>
          <w:sz w:val="24"/>
          <w:szCs w:val="24"/>
          <w:lang w:val="en-US"/>
        </w:rPr>
        <w:t>Chiti</w:t>
      </w:r>
      <w:proofErr w:type="spellEnd"/>
      <w:r w:rsidRPr="00EF31EE">
        <w:rPr>
          <w:sz w:val="24"/>
          <w:szCs w:val="24"/>
          <w:lang w:val="en-US"/>
        </w:rPr>
        <w:t xml:space="preserve"> H, </w:t>
      </w:r>
      <w:proofErr w:type="spellStart"/>
      <w:r w:rsidRPr="00EF31EE">
        <w:rPr>
          <w:sz w:val="24"/>
          <w:szCs w:val="24"/>
          <w:lang w:val="en-US"/>
        </w:rPr>
        <w:t>Shoghli</w:t>
      </w:r>
      <w:proofErr w:type="spellEnd"/>
      <w:r w:rsidRPr="00EF31EE">
        <w:rPr>
          <w:sz w:val="24"/>
          <w:szCs w:val="24"/>
          <w:lang w:val="en-US"/>
        </w:rPr>
        <w:t xml:space="preserve"> A, </w:t>
      </w:r>
      <w:proofErr w:type="spellStart"/>
      <w:r w:rsidRPr="00EF31EE">
        <w:rPr>
          <w:sz w:val="24"/>
          <w:szCs w:val="24"/>
          <w:lang w:val="en-US"/>
        </w:rPr>
        <w:t>Biglari</w:t>
      </w:r>
      <w:proofErr w:type="spellEnd"/>
      <w:r w:rsidRPr="00EF31EE">
        <w:rPr>
          <w:sz w:val="24"/>
          <w:szCs w:val="24"/>
          <w:lang w:val="en-US"/>
        </w:rPr>
        <w:t xml:space="preserve"> S, </w:t>
      </w:r>
      <w:proofErr w:type="spellStart"/>
      <w:r w:rsidRPr="00EF31EE">
        <w:rPr>
          <w:sz w:val="24"/>
          <w:szCs w:val="24"/>
          <w:lang w:val="en-US"/>
        </w:rPr>
        <w:t>Parsamanesh</w:t>
      </w:r>
      <w:proofErr w:type="spellEnd"/>
      <w:r w:rsidRPr="00EF31EE">
        <w:rPr>
          <w:sz w:val="24"/>
          <w:szCs w:val="24"/>
          <w:lang w:val="en-US"/>
        </w:rPr>
        <w:t xml:space="preserve"> N, </w:t>
      </w:r>
      <w:proofErr w:type="spellStart"/>
      <w:r w:rsidRPr="00EF31EE">
        <w:rPr>
          <w:sz w:val="24"/>
          <w:szCs w:val="24"/>
          <w:lang w:val="en-US"/>
        </w:rPr>
        <w:t>Esmaeilzadeh</w:t>
      </w:r>
      <w:proofErr w:type="spellEnd"/>
      <w:r w:rsidRPr="00EF31EE">
        <w:rPr>
          <w:sz w:val="24"/>
          <w:szCs w:val="24"/>
          <w:lang w:val="en-US"/>
        </w:rPr>
        <w:t xml:space="preserve"> A. COVID-19: Virology, biology and novel laboratory diagnosis. </w:t>
      </w:r>
      <w:r w:rsidR="00714634">
        <w:rPr>
          <w:sz w:val="24"/>
          <w:szCs w:val="24"/>
          <w:lang w:val="en-US"/>
        </w:rPr>
        <w:t>J Gene Med. 2021</w:t>
      </w:r>
      <w:proofErr w:type="gramStart"/>
      <w:r w:rsidR="00714634">
        <w:rPr>
          <w:sz w:val="24"/>
          <w:szCs w:val="24"/>
          <w:lang w:val="en-US"/>
        </w:rPr>
        <w:t>;23</w:t>
      </w:r>
      <w:proofErr w:type="gramEnd"/>
      <w:r w:rsidR="00714634">
        <w:rPr>
          <w:sz w:val="24"/>
          <w:szCs w:val="24"/>
          <w:lang w:val="en-US"/>
        </w:rPr>
        <w:t>(2):</w:t>
      </w:r>
      <w:r w:rsidRPr="00714634">
        <w:rPr>
          <w:sz w:val="24"/>
          <w:szCs w:val="24"/>
          <w:lang w:val="en-US"/>
        </w:rPr>
        <w:t xml:space="preserve">3303. </w:t>
      </w:r>
    </w:p>
    <w:p w14:paraId="51474FB6" w14:textId="77777777" w:rsidR="00194E6C" w:rsidRPr="00EF31EE" w:rsidRDefault="00194E6C" w:rsidP="009775E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F31EE">
        <w:rPr>
          <w:sz w:val="24"/>
          <w:szCs w:val="24"/>
          <w:lang w:val="en-US"/>
        </w:rPr>
        <w:t>Shen WX, Luo RC, Wang JQ, Chen ZS. Features of Cytokine Storm Identified by Distinguishing Clinical Manifestations in COVID-19. </w:t>
      </w:r>
      <w:proofErr w:type="spellStart"/>
      <w:r w:rsidRPr="00EF31EE">
        <w:rPr>
          <w:i/>
          <w:iCs/>
          <w:sz w:val="24"/>
          <w:szCs w:val="24"/>
        </w:rPr>
        <w:t>Front</w:t>
      </w:r>
      <w:proofErr w:type="spellEnd"/>
      <w:r w:rsidRPr="00EF31EE">
        <w:rPr>
          <w:i/>
          <w:iCs/>
          <w:sz w:val="24"/>
          <w:szCs w:val="24"/>
        </w:rPr>
        <w:t xml:space="preserve"> </w:t>
      </w:r>
      <w:proofErr w:type="spellStart"/>
      <w:r w:rsidRPr="00EF31EE">
        <w:rPr>
          <w:i/>
          <w:iCs/>
          <w:sz w:val="24"/>
          <w:szCs w:val="24"/>
        </w:rPr>
        <w:t>Public</w:t>
      </w:r>
      <w:proofErr w:type="spellEnd"/>
      <w:r w:rsidRPr="00EF31EE">
        <w:rPr>
          <w:i/>
          <w:iCs/>
          <w:sz w:val="24"/>
          <w:szCs w:val="24"/>
        </w:rPr>
        <w:t xml:space="preserve"> </w:t>
      </w:r>
      <w:proofErr w:type="spellStart"/>
      <w:r w:rsidRPr="00EF31EE">
        <w:rPr>
          <w:i/>
          <w:iCs/>
          <w:sz w:val="24"/>
          <w:szCs w:val="24"/>
        </w:rPr>
        <w:t>Health</w:t>
      </w:r>
      <w:proofErr w:type="spellEnd"/>
      <w:r w:rsidRPr="00EF31EE">
        <w:rPr>
          <w:sz w:val="24"/>
          <w:szCs w:val="24"/>
        </w:rPr>
        <w:t xml:space="preserve">. </w:t>
      </w:r>
      <w:proofErr w:type="gramStart"/>
      <w:r w:rsidRPr="00EF31EE">
        <w:rPr>
          <w:sz w:val="24"/>
          <w:szCs w:val="24"/>
        </w:rPr>
        <w:t>2021;9:67</w:t>
      </w:r>
      <w:r w:rsidR="0045219C" w:rsidRPr="00EF31EE">
        <w:rPr>
          <w:sz w:val="24"/>
          <w:szCs w:val="24"/>
        </w:rPr>
        <w:t>1788</w:t>
      </w:r>
      <w:proofErr w:type="gramEnd"/>
      <w:r w:rsidR="0045219C" w:rsidRPr="00EF31EE">
        <w:rPr>
          <w:sz w:val="24"/>
          <w:szCs w:val="24"/>
        </w:rPr>
        <w:t>.</w:t>
      </w:r>
    </w:p>
    <w:p w14:paraId="37C9DD5F" w14:textId="51FED4FF" w:rsidR="009510D1" w:rsidRPr="004A6CF5" w:rsidRDefault="0045219C" w:rsidP="008619EB">
      <w:pPr>
        <w:pStyle w:val="a4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C26FD9">
        <w:rPr>
          <w:sz w:val="24"/>
          <w:szCs w:val="24"/>
          <w:lang w:val="it-IT"/>
        </w:rPr>
        <w:t xml:space="preserve">Beović B, Doušak M, Ferreira-Coimbra J, et al. </w:t>
      </w:r>
      <w:r w:rsidRPr="00EF31EE">
        <w:rPr>
          <w:sz w:val="24"/>
          <w:szCs w:val="24"/>
          <w:lang w:val="en-US"/>
        </w:rPr>
        <w:t>Antibiotic use in patients with COVID-19: a 'snapshot' Infectious Diseases International Research Initiative (ID-IRI) survey. </w:t>
      </w:r>
      <w:r w:rsidRPr="004A6CF5">
        <w:rPr>
          <w:i/>
          <w:iCs/>
          <w:sz w:val="24"/>
          <w:szCs w:val="24"/>
          <w:lang w:val="en-US"/>
        </w:rPr>
        <w:t xml:space="preserve">J </w:t>
      </w:r>
      <w:proofErr w:type="spellStart"/>
      <w:r w:rsidRPr="004A6CF5">
        <w:rPr>
          <w:i/>
          <w:iCs/>
          <w:sz w:val="24"/>
          <w:szCs w:val="24"/>
          <w:lang w:val="en-US"/>
        </w:rPr>
        <w:t>Antimicrob</w:t>
      </w:r>
      <w:proofErr w:type="spellEnd"/>
      <w:r w:rsidRPr="004A6CF5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A6CF5">
        <w:rPr>
          <w:i/>
          <w:iCs/>
          <w:sz w:val="24"/>
          <w:szCs w:val="24"/>
          <w:lang w:val="en-US"/>
        </w:rPr>
        <w:t>Chemother</w:t>
      </w:r>
      <w:proofErr w:type="spellEnd"/>
      <w:r w:rsidRPr="004A6CF5">
        <w:rPr>
          <w:sz w:val="24"/>
          <w:szCs w:val="24"/>
          <w:lang w:val="en-US"/>
        </w:rPr>
        <w:t>. 2020</w:t>
      </w:r>
      <w:proofErr w:type="gramStart"/>
      <w:r w:rsidRPr="004A6CF5">
        <w:rPr>
          <w:sz w:val="24"/>
          <w:szCs w:val="24"/>
          <w:lang w:val="en-US"/>
        </w:rPr>
        <w:t>;75</w:t>
      </w:r>
      <w:proofErr w:type="gramEnd"/>
      <w:r w:rsidRPr="004A6CF5">
        <w:rPr>
          <w:sz w:val="24"/>
          <w:szCs w:val="24"/>
          <w:lang w:val="en-US"/>
        </w:rPr>
        <w:t xml:space="preserve">(11):3386-3390. </w:t>
      </w:r>
    </w:p>
    <w:p w14:paraId="563E60B3" w14:textId="77777777" w:rsidR="009510D1" w:rsidRPr="004A6CF5" w:rsidRDefault="009510D1" w:rsidP="009510D1">
      <w:pPr>
        <w:pStyle w:val="a4"/>
        <w:jc w:val="both"/>
        <w:rPr>
          <w:sz w:val="24"/>
          <w:szCs w:val="24"/>
          <w:lang w:val="en-US"/>
        </w:rPr>
      </w:pPr>
    </w:p>
    <w:p w14:paraId="32108F0A" w14:textId="778E447D" w:rsidR="00291238" w:rsidRPr="00C26FD9" w:rsidRDefault="00291238" w:rsidP="008619EB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t xml:space="preserve">Langford BJ, So M, </w:t>
      </w:r>
      <w:proofErr w:type="spellStart"/>
      <w:r w:rsidRPr="00C26FD9">
        <w:rPr>
          <w:rFonts w:cs="Calibri"/>
          <w:sz w:val="24"/>
          <w:szCs w:val="24"/>
          <w:lang w:val="en-US"/>
        </w:rPr>
        <w:t>Raybardhan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S, Leung V, Westwood D, </w:t>
      </w:r>
      <w:proofErr w:type="spellStart"/>
      <w:r w:rsidRPr="00C26FD9">
        <w:rPr>
          <w:rFonts w:cs="Calibri"/>
          <w:sz w:val="24"/>
          <w:szCs w:val="24"/>
          <w:lang w:val="en-US"/>
        </w:rPr>
        <w:t>MacFadden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DR,</w:t>
      </w:r>
      <w:r w:rsidR="006F7DCA">
        <w:rPr>
          <w:rFonts w:cs="Calibri"/>
          <w:sz w:val="24"/>
          <w:szCs w:val="24"/>
          <w:lang w:val="en-US"/>
        </w:rPr>
        <w:t xml:space="preserve"> et al.</w:t>
      </w:r>
      <w:r w:rsidRPr="00C26FD9">
        <w:rPr>
          <w:rFonts w:cs="Calibri"/>
          <w:sz w:val="24"/>
          <w:szCs w:val="24"/>
          <w:lang w:val="en-US"/>
        </w:rPr>
        <w:t xml:space="preserve"> Bacterial co-infection and secondary infection in patients with COVID-19: a living rapid review and meta-analysis.</w:t>
      </w:r>
      <w:r w:rsidR="00714634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714634">
        <w:rPr>
          <w:rFonts w:cs="Calibri"/>
          <w:sz w:val="24"/>
          <w:szCs w:val="24"/>
          <w:lang w:val="en-US"/>
        </w:rPr>
        <w:t>Clin</w:t>
      </w:r>
      <w:proofErr w:type="spellEnd"/>
      <w:r w:rsidR="00714634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714634">
        <w:rPr>
          <w:rFonts w:cs="Calibri"/>
          <w:sz w:val="24"/>
          <w:szCs w:val="24"/>
          <w:lang w:val="en-US"/>
        </w:rPr>
        <w:t>Microbiol</w:t>
      </w:r>
      <w:proofErr w:type="spellEnd"/>
      <w:r w:rsidR="00714634">
        <w:rPr>
          <w:rFonts w:cs="Calibri"/>
          <w:sz w:val="24"/>
          <w:szCs w:val="24"/>
          <w:lang w:val="en-US"/>
        </w:rPr>
        <w:t xml:space="preserve"> Infect. 2020</w:t>
      </w:r>
      <w:proofErr w:type="gramStart"/>
      <w:r w:rsidRPr="00C26FD9">
        <w:rPr>
          <w:rFonts w:cs="Calibri"/>
          <w:sz w:val="24"/>
          <w:szCs w:val="24"/>
          <w:lang w:val="en-US"/>
        </w:rPr>
        <w:t>;26</w:t>
      </w:r>
      <w:proofErr w:type="gramEnd"/>
      <w:r w:rsidRPr="00C26FD9">
        <w:rPr>
          <w:rFonts w:cs="Calibri"/>
          <w:sz w:val="24"/>
          <w:szCs w:val="24"/>
          <w:lang w:val="en-US"/>
        </w:rPr>
        <w:t xml:space="preserve">(12):1622-1629. </w:t>
      </w:r>
    </w:p>
    <w:p w14:paraId="404C4E92" w14:textId="77777777" w:rsidR="006B7D24" w:rsidRPr="00C26FD9" w:rsidRDefault="006B7D24" w:rsidP="006B7D24">
      <w:pPr>
        <w:pStyle w:val="a4"/>
        <w:rPr>
          <w:rFonts w:cs="Calibri"/>
          <w:sz w:val="24"/>
          <w:szCs w:val="24"/>
          <w:lang w:val="en-US"/>
        </w:rPr>
      </w:pPr>
    </w:p>
    <w:p w14:paraId="7A433D6D" w14:textId="77777777" w:rsidR="006F7DCA" w:rsidRPr="006F7DCA" w:rsidRDefault="006F7DCA" w:rsidP="006F7DCA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proofErr w:type="spellStart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Bardi</w:t>
      </w:r>
      <w:proofErr w:type="spellEnd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T, </w:t>
      </w:r>
      <w:proofErr w:type="spellStart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Pintado</w:t>
      </w:r>
      <w:proofErr w:type="spellEnd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V, Gomez-</w:t>
      </w:r>
      <w:proofErr w:type="spellStart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Rojo</w:t>
      </w:r>
      <w:proofErr w:type="spellEnd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Escudero</w:t>
      </w:r>
      <w:proofErr w:type="spellEnd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-Sanchez R, </w:t>
      </w:r>
      <w:proofErr w:type="spellStart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Azzam</w:t>
      </w:r>
      <w:proofErr w:type="spellEnd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Lopez A, </w:t>
      </w:r>
      <w:proofErr w:type="spellStart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Diez-Remesal</w:t>
      </w:r>
      <w:proofErr w:type="spellEnd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Y,</w:t>
      </w:r>
      <w:r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2C7ED5" w:rsidRPr="00C26FD9">
        <w:rPr>
          <w:rFonts w:cs="Calibri"/>
          <w:color w:val="212121"/>
          <w:sz w:val="24"/>
          <w:szCs w:val="24"/>
          <w:shd w:val="clear" w:color="auto" w:fill="FFFFFF"/>
          <w:lang w:val="it-IT"/>
        </w:rPr>
        <w:t xml:space="preserve">et al. </w:t>
      </w:r>
      <w:r w:rsidR="002C7ED5"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Nosocomial infections associated to COVID-19 in the intensive care unit: clinical characteristics and outcome. </w:t>
      </w:r>
      <w:proofErr w:type="spellStart"/>
      <w:r w:rsidR="002C7ED5"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>Eur</w:t>
      </w:r>
      <w:proofErr w:type="spellEnd"/>
      <w:r w:rsidR="002C7ED5"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 xml:space="preserve"> J </w:t>
      </w:r>
      <w:proofErr w:type="spellStart"/>
      <w:r w:rsidR="002C7ED5"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>Clin</w:t>
      </w:r>
      <w:proofErr w:type="spellEnd"/>
      <w:r w:rsidR="002C7ED5"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C7ED5"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>Microbiol</w:t>
      </w:r>
      <w:proofErr w:type="spellEnd"/>
      <w:r w:rsidR="002C7ED5"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 xml:space="preserve"> Infect Dis</w:t>
      </w:r>
      <w:r w:rsidR="002C7ED5"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. 2021</w:t>
      </w:r>
      <w:proofErr w:type="gramStart"/>
      <w:r w:rsidR="002C7ED5"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;40</w:t>
      </w:r>
      <w:proofErr w:type="gramEnd"/>
      <w:r w:rsidR="002C7ED5"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(3):495-502. </w:t>
      </w:r>
    </w:p>
    <w:p w14:paraId="0098815A" w14:textId="77777777" w:rsidR="006F7DCA" w:rsidRPr="006F7DCA" w:rsidRDefault="006F7DCA" w:rsidP="006F7DCA">
      <w:pPr>
        <w:pStyle w:val="a4"/>
        <w:rPr>
          <w:rFonts w:cs="Calibri"/>
          <w:color w:val="212121"/>
          <w:sz w:val="24"/>
          <w:szCs w:val="24"/>
          <w:shd w:val="clear" w:color="auto" w:fill="FFFFFF"/>
          <w:lang w:val="en-US"/>
        </w:rPr>
      </w:pPr>
    </w:p>
    <w:p w14:paraId="087C5EFD" w14:textId="342B4001" w:rsidR="006F7DCA" w:rsidRPr="006F7DCA" w:rsidRDefault="006F7DCA" w:rsidP="006F7DCA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proofErr w:type="spellStart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Marand</w:t>
      </w:r>
      <w:proofErr w:type="spellEnd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AJB, Bach C, Janssen D, </w:t>
      </w:r>
      <w:proofErr w:type="spellStart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Heesakkers</w:t>
      </w:r>
      <w:proofErr w:type="spellEnd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Ghojazadeh</w:t>
      </w:r>
      <w:proofErr w:type="spellEnd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Vögeli</w:t>
      </w:r>
      <w:proofErr w:type="spellEnd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TA,</w:t>
      </w:r>
      <w:r w:rsidR="002C7ED5"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et al. Lower urinary tract signs and symptoms in patients with COVID-19. </w:t>
      </w:r>
      <w:r w:rsidR="002C7ED5" w:rsidRPr="006F7DCA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>BMC Infect Dis</w:t>
      </w:r>
      <w:r w:rsidR="002C7ED5"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. 2021</w:t>
      </w:r>
      <w:proofErr w:type="gramStart"/>
      <w:r w:rsidR="002C7ED5"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;21</w:t>
      </w:r>
      <w:proofErr w:type="gramEnd"/>
      <w:r w:rsidR="002C7ED5"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(1):706. </w:t>
      </w:r>
    </w:p>
    <w:p w14:paraId="6C72160F" w14:textId="77777777" w:rsidR="006F7DCA" w:rsidRPr="006F7DCA" w:rsidRDefault="00E71CC9" w:rsidP="006F7DCA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Lamb LE, </w:t>
      </w:r>
      <w:proofErr w:type="spellStart"/>
      <w:r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Dhar</w:t>
      </w:r>
      <w:proofErr w:type="spellEnd"/>
      <w:r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N, </w:t>
      </w:r>
      <w:proofErr w:type="spellStart"/>
      <w:r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Timar</w:t>
      </w:r>
      <w:proofErr w:type="spellEnd"/>
      <w:r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R, Wills M, </w:t>
      </w:r>
      <w:proofErr w:type="spellStart"/>
      <w:r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Dhar</w:t>
      </w:r>
      <w:proofErr w:type="spellEnd"/>
      <w:r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S, Chancellor MB. COVID-19 inflammation results in urine cytokine elevation and causes COVID-19 associated cystitis (CAC). </w:t>
      </w:r>
      <w:proofErr w:type="spellStart"/>
      <w:r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</w:rPr>
        <w:t>Med</w:t>
      </w:r>
      <w:proofErr w:type="spellEnd"/>
      <w:r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</w:rPr>
        <w:t>Hypotheses</w:t>
      </w:r>
      <w:proofErr w:type="spellEnd"/>
      <w:r w:rsidRPr="00C26FD9">
        <w:rPr>
          <w:rFonts w:cs="Calibri"/>
          <w:color w:val="212121"/>
          <w:sz w:val="24"/>
          <w:szCs w:val="24"/>
          <w:shd w:val="clear" w:color="auto" w:fill="FFFFFF"/>
        </w:rPr>
        <w:t xml:space="preserve">. </w:t>
      </w:r>
      <w:proofErr w:type="gramStart"/>
      <w:r w:rsidRPr="00C26FD9">
        <w:rPr>
          <w:rFonts w:cs="Calibri"/>
          <w:color w:val="212121"/>
          <w:sz w:val="24"/>
          <w:szCs w:val="24"/>
          <w:shd w:val="clear" w:color="auto" w:fill="FFFFFF"/>
        </w:rPr>
        <w:t>2020;145:110375</w:t>
      </w:r>
      <w:proofErr w:type="gramEnd"/>
      <w:r w:rsidRPr="00C26FD9">
        <w:rPr>
          <w:rFonts w:cs="Calibri"/>
          <w:color w:val="212121"/>
          <w:sz w:val="24"/>
          <w:szCs w:val="24"/>
          <w:shd w:val="clear" w:color="auto" w:fill="FFFFFF"/>
        </w:rPr>
        <w:t xml:space="preserve">. </w:t>
      </w:r>
    </w:p>
    <w:p w14:paraId="0E8AD464" w14:textId="41B32576" w:rsidR="00E71CC9" w:rsidRPr="001127CE" w:rsidRDefault="006F7DCA" w:rsidP="006F7DCA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6F7DCA">
        <w:rPr>
          <w:sz w:val="24"/>
          <w:szCs w:val="24"/>
          <w:lang w:val="en-US"/>
        </w:rPr>
        <w:lastRenderedPageBreak/>
        <w:t xml:space="preserve">Mumm JN, Osterman A, </w:t>
      </w:r>
      <w:proofErr w:type="spellStart"/>
      <w:r w:rsidRPr="006F7DCA">
        <w:rPr>
          <w:sz w:val="24"/>
          <w:szCs w:val="24"/>
          <w:lang w:val="en-US"/>
        </w:rPr>
        <w:t>Ruzicka</w:t>
      </w:r>
      <w:proofErr w:type="spellEnd"/>
      <w:r w:rsidRPr="006F7DCA">
        <w:rPr>
          <w:sz w:val="24"/>
          <w:szCs w:val="24"/>
          <w:lang w:val="en-US"/>
        </w:rPr>
        <w:t xml:space="preserve"> M, Stihl C, </w:t>
      </w:r>
      <w:proofErr w:type="spellStart"/>
      <w:r w:rsidRPr="006F7DCA">
        <w:rPr>
          <w:sz w:val="24"/>
          <w:szCs w:val="24"/>
          <w:lang w:val="en-US"/>
        </w:rPr>
        <w:t>Vilsmaier</w:t>
      </w:r>
      <w:proofErr w:type="spellEnd"/>
      <w:r w:rsidRPr="006F7DCA">
        <w:rPr>
          <w:sz w:val="24"/>
          <w:szCs w:val="24"/>
          <w:lang w:val="en-US"/>
        </w:rPr>
        <w:t xml:space="preserve"> T, </w:t>
      </w:r>
      <w:proofErr w:type="spellStart"/>
      <w:r w:rsidRPr="006F7DCA">
        <w:rPr>
          <w:sz w:val="24"/>
          <w:szCs w:val="24"/>
          <w:lang w:val="en-US"/>
        </w:rPr>
        <w:t>Munker</w:t>
      </w:r>
      <w:proofErr w:type="spellEnd"/>
      <w:r w:rsidRPr="006F7DCA">
        <w:rPr>
          <w:sz w:val="24"/>
          <w:szCs w:val="24"/>
          <w:lang w:val="en-US"/>
        </w:rPr>
        <w:t xml:space="preserve"> D</w:t>
      </w:r>
      <w:r w:rsidR="00E71CC9" w:rsidRPr="006F7DCA">
        <w:rPr>
          <w:sz w:val="24"/>
          <w:szCs w:val="24"/>
          <w:lang w:val="it-IT"/>
        </w:rPr>
        <w:t xml:space="preserve">, et al. </w:t>
      </w:r>
      <w:r w:rsidR="00E71CC9" w:rsidRPr="006F7DCA">
        <w:rPr>
          <w:sz w:val="24"/>
          <w:szCs w:val="24"/>
          <w:lang w:val="en-US"/>
        </w:rPr>
        <w:t>Urinary Frequency as a Possibly Overlooked Symptom in COVID-19 Patients: Does SARS-CoV-2 Cause Viral Cystitis</w:t>
      </w:r>
      <w:proofErr w:type="gramStart"/>
      <w:r w:rsidR="00E71CC9" w:rsidRPr="006F7DCA">
        <w:rPr>
          <w:sz w:val="24"/>
          <w:szCs w:val="24"/>
          <w:lang w:val="en-US"/>
        </w:rPr>
        <w:t>?.</w:t>
      </w:r>
      <w:proofErr w:type="gramEnd"/>
      <w:r w:rsidR="00E71CC9" w:rsidRPr="006F7DCA">
        <w:rPr>
          <w:sz w:val="24"/>
          <w:szCs w:val="24"/>
          <w:lang w:val="en-US"/>
        </w:rPr>
        <w:t> </w:t>
      </w:r>
      <w:proofErr w:type="spellStart"/>
      <w:r w:rsidR="00E71CC9" w:rsidRPr="006F7DCA">
        <w:rPr>
          <w:i/>
          <w:iCs/>
          <w:sz w:val="24"/>
          <w:szCs w:val="24"/>
          <w:lang w:val="en-US"/>
        </w:rPr>
        <w:t>Eur</w:t>
      </w:r>
      <w:proofErr w:type="spellEnd"/>
      <w:r w:rsidR="00E71CC9" w:rsidRPr="006F7DCA">
        <w:rPr>
          <w:i/>
          <w:iCs/>
          <w:sz w:val="24"/>
          <w:szCs w:val="24"/>
          <w:lang w:val="en-US"/>
        </w:rPr>
        <w:t xml:space="preserve"> Urol</w:t>
      </w:r>
      <w:r w:rsidR="00E71CC9" w:rsidRPr="006F7DCA">
        <w:rPr>
          <w:sz w:val="24"/>
          <w:szCs w:val="24"/>
          <w:lang w:val="en-US"/>
        </w:rPr>
        <w:t>. 2020</w:t>
      </w:r>
      <w:proofErr w:type="gramStart"/>
      <w:r w:rsidR="00E71CC9" w:rsidRPr="006F7DCA">
        <w:rPr>
          <w:sz w:val="24"/>
          <w:szCs w:val="24"/>
          <w:lang w:val="en-US"/>
        </w:rPr>
        <w:t>;78</w:t>
      </w:r>
      <w:proofErr w:type="gramEnd"/>
      <w:r w:rsidR="00E71CC9" w:rsidRPr="006F7DCA">
        <w:rPr>
          <w:sz w:val="24"/>
          <w:szCs w:val="24"/>
          <w:lang w:val="en-US"/>
        </w:rPr>
        <w:t xml:space="preserve">(4):624-628. </w:t>
      </w:r>
    </w:p>
    <w:p w14:paraId="7F02B42D" w14:textId="10FA3CF0" w:rsidR="00CC529D" w:rsidRPr="00C26FD9" w:rsidRDefault="006F7DCA" w:rsidP="00CC529D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Lamb LE, </w:t>
      </w:r>
      <w:proofErr w:type="spellStart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Timar</w:t>
      </w:r>
      <w:proofErr w:type="spellEnd"/>
      <w:r w:rsidRPr="006F7DCA"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R, Wills </w:t>
      </w:r>
      <w:r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M, </w:t>
      </w:r>
      <w:proofErr w:type="spellStart"/>
      <w:r>
        <w:rPr>
          <w:rFonts w:cs="Calibri"/>
          <w:color w:val="212121"/>
          <w:sz w:val="24"/>
          <w:szCs w:val="24"/>
          <w:shd w:val="clear" w:color="auto" w:fill="FFFFFF"/>
          <w:lang w:val="en-US"/>
        </w:rPr>
        <w:t>Dhar</w:t>
      </w:r>
      <w:proofErr w:type="spellEnd"/>
      <w:r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S, Lucas SM, </w:t>
      </w:r>
      <w:proofErr w:type="spellStart"/>
      <w:r>
        <w:rPr>
          <w:rFonts w:cs="Calibri"/>
          <w:color w:val="212121"/>
          <w:sz w:val="24"/>
          <w:szCs w:val="24"/>
          <w:shd w:val="clear" w:color="auto" w:fill="FFFFFF"/>
          <w:lang w:val="en-US"/>
        </w:rPr>
        <w:t>Komnenov</w:t>
      </w:r>
      <w:proofErr w:type="spellEnd"/>
      <w:r>
        <w:rPr>
          <w:rFonts w:cs="Calibri"/>
          <w:color w:val="212121"/>
          <w:sz w:val="24"/>
          <w:szCs w:val="24"/>
          <w:shd w:val="clear" w:color="auto" w:fill="FFFFFF"/>
          <w:lang w:val="en-US"/>
        </w:rPr>
        <w:t xml:space="preserve"> D</w:t>
      </w:r>
      <w:r w:rsidR="00A1015A"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, et al. Long COVID and COVID-19-associated cystitis (CAC). </w:t>
      </w:r>
      <w:proofErr w:type="spellStart"/>
      <w:r w:rsidR="00A1015A"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>Int</w:t>
      </w:r>
      <w:proofErr w:type="spellEnd"/>
      <w:r w:rsidR="00A1015A"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015A"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>Urol</w:t>
      </w:r>
      <w:proofErr w:type="spellEnd"/>
      <w:r w:rsidR="00A1015A"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015A" w:rsidRPr="00C26FD9">
        <w:rPr>
          <w:rFonts w:cs="Calibri"/>
          <w:i/>
          <w:iCs/>
          <w:color w:val="212121"/>
          <w:sz w:val="24"/>
          <w:szCs w:val="24"/>
          <w:shd w:val="clear" w:color="auto" w:fill="FFFFFF"/>
          <w:lang w:val="en-US"/>
        </w:rPr>
        <w:t>Nephrol</w:t>
      </w:r>
      <w:proofErr w:type="spellEnd"/>
      <w:r w:rsidR="00A1015A"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. 2022</w:t>
      </w:r>
      <w:proofErr w:type="gramStart"/>
      <w:r w:rsidR="00A1015A"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;54</w:t>
      </w:r>
      <w:proofErr w:type="gramEnd"/>
      <w:r w:rsidR="00A1015A" w:rsidRPr="00C26FD9">
        <w:rPr>
          <w:rFonts w:cs="Calibri"/>
          <w:color w:val="212121"/>
          <w:sz w:val="24"/>
          <w:szCs w:val="24"/>
          <w:shd w:val="clear" w:color="auto" w:fill="FFFFFF"/>
          <w:lang w:val="en-US"/>
        </w:rPr>
        <w:t>(1):17-21.</w:t>
      </w:r>
    </w:p>
    <w:p w14:paraId="25C716DD" w14:textId="6B00722A" w:rsidR="00CC529D" w:rsidRPr="00C26FD9" w:rsidRDefault="00CC529D" w:rsidP="008619EB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spellStart"/>
      <w:r w:rsidRPr="00C26FD9">
        <w:rPr>
          <w:rFonts w:cs="Calibri"/>
          <w:sz w:val="24"/>
          <w:szCs w:val="24"/>
          <w:lang w:val="en-US"/>
        </w:rPr>
        <w:t>Meena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M, </w:t>
      </w:r>
      <w:proofErr w:type="spellStart"/>
      <w:r w:rsidRPr="00C26FD9">
        <w:rPr>
          <w:rFonts w:cs="Calibri"/>
          <w:sz w:val="24"/>
          <w:szCs w:val="24"/>
          <w:lang w:val="en-US"/>
        </w:rPr>
        <w:t>Kishoria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N, </w:t>
      </w:r>
      <w:proofErr w:type="spellStart"/>
      <w:r w:rsidRPr="00C26FD9">
        <w:rPr>
          <w:rFonts w:cs="Calibri"/>
          <w:sz w:val="24"/>
          <w:szCs w:val="24"/>
          <w:lang w:val="en-US"/>
        </w:rPr>
        <w:t>Meena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DS, </w:t>
      </w:r>
      <w:proofErr w:type="spellStart"/>
      <w:r w:rsidRPr="00C26FD9">
        <w:rPr>
          <w:rFonts w:cs="Calibri"/>
          <w:sz w:val="24"/>
          <w:szCs w:val="24"/>
          <w:lang w:val="en-US"/>
        </w:rPr>
        <w:t>Sonwal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VS. Bacteriological Profile and Antibiotic Resistance in Patients with Urinary Tract Infection in Tertiary Care Teaching Hospital in Western Rajasthan India. </w:t>
      </w:r>
      <w:proofErr w:type="spellStart"/>
      <w:r w:rsidRPr="00C26FD9">
        <w:rPr>
          <w:rFonts w:cs="Calibri"/>
          <w:i/>
          <w:iCs/>
          <w:sz w:val="24"/>
          <w:szCs w:val="24"/>
        </w:rPr>
        <w:t>Infect</w:t>
      </w:r>
      <w:proofErr w:type="spellEnd"/>
      <w:r w:rsidRPr="00C26FD9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C26FD9">
        <w:rPr>
          <w:rFonts w:cs="Calibri"/>
          <w:i/>
          <w:iCs/>
          <w:sz w:val="24"/>
          <w:szCs w:val="24"/>
        </w:rPr>
        <w:t>Disord</w:t>
      </w:r>
      <w:proofErr w:type="spellEnd"/>
      <w:r w:rsidRPr="00C26FD9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C26FD9">
        <w:rPr>
          <w:rFonts w:cs="Calibri"/>
          <w:i/>
          <w:iCs/>
          <w:sz w:val="24"/>
          <w:szCs w:val="24"/>
        </w:rPr>
        <w:t>Drug</w:t>
      </w:r>
      <w:proofErr w:type="spellEnd"/>
      <w:r w:rsidRPr="00C26FD9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C26FD9">
        <w:rPr>
          <w:rFonts w:cs="Calibri"/>
          <w:i/>
          <w:iCs/>
          <w:sz w:val="24"/>
          <w:szCs w:val="24"/>
        </w:rPr>
        <w:t>Targets</w:t>
      </w:r>
      <w:proofErr w:type="spellEnd"/>
      <w:r w:rsidRPr="00C26FD9">
        <w:rPr>
          <w:rFonts w:cs="Calibri"/>
          <w:sz w:val="24"/>
          <w:szCs w:val="24"/>
        </w:rPr>
        <w:t xml:space="preserve">. 2021;21(2):257-261. </w:t>
      </w:r>
    </w:p>
    <w:p w14:paraId="61C4E124" w14:textId="4A25507F" w:rsidR="005279F5" w:rsidRPr="006F7DCA" w:rsidRDefault="005279F5" w:rsidP="008619EB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t xml:space="preserve">Gul A, </w:t>
      </w:r>
      <w:proofErr w:type="spellStart"/>
      <w:r w:rsidRPr="00C26FD9">
        <w:rPr>
          <w:rFonts w:cs="Calibri"/>
          <w:sz w:val="24"/>
          <w:szCs w:val="24"/>
          <w:lang w:val="en-US"/>
        </w:rPr>
        <w:t>Gurbuz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E. Microorganisms and antibiotic susceptibilities isolated from urine cultures. </w:t>
      </w:r>
      <w:r w:rsidRPr="006F7DCA">
        <w:rPr>
          <w:rFonts w:cs="Calibri"/>
          <w:i/>
          <w:iCs/>
          <w:sz w:val="24"/>
          <w:szCs w:val="24"/>
          <w:lang w:val="en-US"/>
        </w:rPr>
        <w:t xml:space="preserve">Arch Ital </w:t>
      </w:r>
      <w:proofErr w:type="spellStart"/>
      <w:r w:rsidRPr="006F7DCA">
        <w:rPr>
          <w:rFonts w:cs="Calibri"/>
          <w:i/>
          <w:iCs/>
          <w:sz w:val="24"/>
          <w:szCs w:val="24"/>
          <w:lang w:val="en-US"/>
        </w:rPr>
        <w:t>Urol</w:t>
      </w:r>
      <w:proofErr w:type="spellEnd"/>
      <w:r w:rsidRPr="006F7DCA">
        <w:rPr>
          <w:rFonts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6F7DCA">
        <w:rPr>
          <w:rFonts w:cs="Calibri"/>
          <w:i/>
          <w:iCs/>
          <w:sz w:val="24"/>
          <w:szCs w:val="24"/>
          <w:lang w:val="en-US"/>
        </w:rPr>
        <w:t>Androl</w:t>
      </w:r>
      <w:proofErr w:type="spellEnd"/>
      <w:r w:rsidR="006F7DCA">
        <w:rPr>
          <w:rFonts w:cs="Calibri"/>
          <w:sz w:val="24"/>
          <w:szCs w:val="24"/>
          <w:lang w:val="en-US"/>
        </w:rPr>
        <w:t>. 2020;92(2)</w:t>
      </w:r>
    </w:p>
    <w:p w14:paraId="58FE1F82" w14:textId="54A2888D" w:rsidR="005279F5" w:rsidRPr="00C26FD9" w:rsidRDefault="00B7185C" w:rsidP="008619EB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proofErr w:type="spellStart"/>
      <w:r w:rsidRPr="00B7185C">
        <w:rPr>
          <w:rFonts w:cs="Calibri"/>
          <w:sz w:val="24"/>
          <w:szCs w:val="24"/>
          <w:lang w:val="en-US"/>
        </w:rPr>
        <w:t>Amawi</w:t>
      </w:r>
      <w:proofErr w:type="spellEnd"/>
      <w:r w:rsidRPr="00B7185C">
        <w:rPr>
          <w:rFonts w:cs="Calibri"/>
          <w:sz w:val="24"/>
          <w:szCs w:val="24"/>
          <w:lang w:val="en-US"/>
        </w:rPr>
        <w:t xml:space="preserve"> HA, </w:t>
      </w:r>
      <w:proofErr w:type="spellStart"/>
      <w:r w:rsidRPr="00B7185C">
        <w:rPr>
          <w:rFonts w:cs="Calibri"/>
          <w:sz w:val="24"/>
          <w:szCs w:val="24"/>
          <w:lang w:val="en-US"/>
        </w:rPr>
        <w:t>U'wais</w:t>
      </w:r>
      <w:proofErr w:type="spellEnd"/>
      <w:r w:rsidRPr="00B7185C">
        <w:rPr>
          <w:rFonts w:cs="Calibri"/>
          <w:sz w:val="24"/>
          <w:szCs w:val="24"/>
          <w:lang w:val="en-US"/>
        </w:rPr>
        <w:t xml:space="preserve"> HT, </w:t>
      </w:r>
      <w:proofErr w:type="spellStart"/>
      <w:r w:rsidRPr="00B7185C">
        <w:rPr>
          <w:rFonts w:cs="Calibri"/>
          <w:sz w:val="24"/>
          <w:szCs w:val="24"/>
          <w:lang w:val="en-US"/>
        </w:rPr>
        <w:t>Nusair</w:t>
      </w:r>
      <w:proofErr w:type="spellEnd"/>
      <w:r w:rsidRPr="00B7185C">
        <w:rPr>
          <w:rFonts w:cs="Calibri"/>
          <w:sz w:val="24"/>
          <w:szCs w:val="24"/>
          <w:lang w:val="en-US"/>
        </w:rPr>
        <w:t xml:space="preserve"> MB, Al-</w:t>
      </w:r>
      <w:proofErr w:type="spellStart"/>
      <w:r w:rsidRPr="00B7185C">
        <w:rPr>
          <w:rFonts w:cs="Calibri"/>
          <w:sz w:val="24"/>
          <w:szCs w:val="24"/>
          <w:lang w:val="en-US"/>
        </w:rPr>
        <w:t>Okour</w:t>
      </w:r>
      <w:proofErr w:type="spellEnd"/>
      <w:r w:rsidRPr="00B7185C">
        <w:rPr>
          <w:rFonts w:cs="Calibri"/>
          <w:sz w:val="24"/>
          <w:szCs w:val="24"/>
          <w:lang w:val="en-US"/>
        </w:rPr>
        <w:t xml:space="preserve"> R, </w:t>
      </w:r>
      <w:proofErr w:type="spellStart"/>
      <w:r w:rsidRPr="00B7185C">
        <w:rPr>
          <w:rFonts w:cs="Calibri"/>
          <w:sz w:val="24"/>
          <w:szCs w:val="24"/>
          <w:lang w:val="en-US"/>
        </w:rPr>
        <w:t>Amawi</w:t>
      </w:r>
      <w:proofErr w:type="spellEnd"/>
      <w:r w:rsidRPr="00B7185C">
        <w:rPr>
          <w:rFonts w:cs="Calibri"/>
          <w:sz w:val="24"/>
          <w:szCs w:val="24"/>
          <w:lang w:val="en-US"/>
        </w:rPr>
        <w:t xml:space="preserve"> S, Al-</w:t>
      </w:r>
      <w:proofErr w:type="spellStart"/>
      <w:r w:rsidRPr="00B7185C">
        <w:rPr>
          <w:rFonts w:cs="Calibri"/>
          <w:sz w:val="24"/>
          <w:szCs w:val="24"/>
          <w:lang w:val="en-US"/>
        </w:rPr>
        <w:t>Sh</w:t>
      </w:r>
      <w:r>
        <w:rPr>
          <w:rFonts w:cs="Calibri"/>
          <w:sz w:val="24"/>
          <w:szCs w:val="24"/>
          <w:lang w:val="en-US"/>
        </w:rPr>
        <w:t>atnawi</w:t>
      </w:r>
      <w:proofErr w:type="spellEnd"/>
      <w:r>
        <w:rPr>
          <w:rFonts w:cs="Calibri"/>
          <w:sz w:val="24"/>
          <w:szCs w:val="24"/>
          <w:lang w:val="en-US"/>
        </w:rPr>
        <w:t xml:space="preserve"> S</w:t>
      </w:r>
      <w:r w:rsidR="005279F5" w:rsidRPr="00C26FD9">
        <w:rPr>
          <w:rFonts w:cs="Calibri"/>
          <w:sz w:val="24"/>
          <w:szCs w:val="24"/>
          <w:lang w:val="en-US"/>
        </w:rPr>
        <w:t>, et al. Management of urinary tract infections and antibiotic susceptibility patterns of bacterial isolates. </w:t>
      </w:r>
      <w:proofErr w:type="spellStart"/>
      <w:r w:rsidR="005279F5" w:rsidRPr="00C26FD9">
        <w:rPr>
          <w:rFonts w:cs="Calibri"/>
          <w:i/>
          <w:iCs/>
          <w:sz w:val="24"/>
          <w:szCs w:val="24"/>
          <w:lang w:val="en-US"/>
        </w:rPr>
        <w:t>Int</w:t>
      </w:r>
      <w:proofErr w:type="spellEnd"/>
      <w:r w:rsidR="005279F5" w:rsidRPr="00C26FD9">
        <w:rPr>
          <w:rFonts w:cs="Calibri"/>
          <w:i/>
          <w:iCs/>
          <w:sz w:val="24"/>
          <w:szCs w:val="24"/>
          <w:lang w:val="en-US"/>
        </w:rPr>
        <w:t xml:space="preserve"> J </w:t>
      </w:r>
      <w:proofErr w:type="spellStart"/>
      <w:r w:rsidR="005279F5" w:rsidRPr="00C26FD9">
        <w:rPr>
          <w:rFonts w:cs="Calibri"/>
          <w:i/>
          <w:iCs/>
          <w:sz w:val="24"/>
          <w:szCs w:val="24"/>
          <w:lang w:val="en-US"/>
        </w:rPr>
        <w:t>Clin</w:t>
      </w:r>
      <w:proofErr w:type="spellEnd"/>
      <w:r w:rsidR="005279F5" w:rsidRPr="00C26FD9">
        <w:rPr>
          <w:rFonts w:cs="Calibri"/>
          <w:i/>
          <w:iCs/>
          <w:sz w:val="24"/>
          <w:szCs w:val="24"/>
          <w:lang w:val="en-US"/>
        </w:rPr>
        <w:t xml:space="preserve"> </w:t>
      </w:r>
      <w:proofErr w:type="spellStart"/>
      <w:r w:rsidR="005279F5" w:rsidRPr="00C26FD9">
        <w:rPr>
          <w:rFonts w:cs="Calibri"/>
          <w:i/>
          <w:iCs/>
          <w:sz w:val="24"/>
          <w:szCs w:val="24"/>
          <w:lang w:val="en-US"/>
        </w:rPr>
        <w:t>Pract</w:t>
      </w:r>
      <w:proofErr w:type="spellEnd"/>
      <w:r>
        <w:rPr>
          <w:rFonts w:cs="Calibri"/>
          <w:sz w:val="24"/>
          <w:szCs w:val="24"/>
          <w:lang w:val="en-US"/>
        </w:rPr>
        <w:t>. 2021</w:t>
      </w:r>
      <w:proofErr w:type="gramStart"/>
      <w:r>
        <w:rPr>
          <w:rFonts w:cs="Calibri"/>
          <w:sz w:val="24"/>
          <w:szCs w:val="24"/>
          <w:lang w:val="en-US"/>
        </w:rPr>
        <w:t>;75</w:t>
      </w:r>
      <w:proofErr w:type="gramEnd"/>
      <w:r>
        <w:rPr>
          <w:rFonts w:cs="Calibri"/>
          <w:sz w:val="24"/>
          <w:szCs w:val="24"/>
          <w:lang w:val="en-US"/>
        </w:rPr>
        <w:t>(10):</w:t>
      </w:r>
      <w:r w:rsidR="005279F5" w:rsidRPr="00C26FD9">
        <w:rPr>
          <w:rFonts w:cs="Calibri"/>
          <w:sz w:val="24"/>
          <w:szCs w:val="24"/>
          <w:lang w:val="en-US"/>
        </w:rPr>
        <w:t xml:space="preserve">14475. </w:t>
      </w:r>
    </w:p>
    <w:p w14:paraId="280B9A9D" w14:textId="3C8B1562" w:rsidR="000502FB" w:rsidRPr="00C26FD9" w:rsidRDefault="000502FB" w:rsidP="000502FB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proofErr w:type="spellStart"/>
      <w:r w:rsidRPr="00C26FD9">
        <w:rPr>
          <w:rFonts w:cs="Calibri"/>
          <w:sz w:val="24"/>
          <w:szCs w:val="24"/>
          <w:lang w:val="en-US"/>
        </w:rPr>
        <w:t>Munita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JM, Arias CA. Mechanisms of Antibiotic Resistance. </w:t>
      </w:r>
      <w:proofErr w:type="spellStart"/>
      <w:r w:rsidRPr="00C26FD9">
        <w:rPr>
          <w:rFonts w:cs="Calibri"/>
          <w:sz w:val="24"/>
          <w:szCs w:val="24"/>
          <w:lang w:val="en-US"/>
        </w:rPr>
        <w:t>Microbiol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26FD9">
        <w:rPr>
          <w:rFonts w:cs="Calibri"/>
          <w:sz w:val="24"/>
          <w:szCs w:val="24"/>
          <w:lang w:val="en-US"/>
        </w:rPr>
        <w:t>Spectr</w:t>
      </w:r>
      <w:proofErr w:type="spellEnd"/>
      <w:r w:rsidRPr="00C26FD9">
        <w:rPr>
          <w:rFonts w:cs="Calibri"/>
          <w:sz w:val="24"/>
          <w:szCs w:val="24"/>
          <w:lang w:val="en-US"/>
        </w:rPr>
        <w:t>. 2</w:t>
      </w:r>
      <w:r w:rsidR="00B7185C">
        <w:rPr>
          <w:rFonts w:cs="Calibri"/>
          <w:sz w:val="24"/>
          <w:szCs w:val="24"/>
          <w:lang w:val="en-US"/>
        </w:rPr>
        <w:t>016</w:t>
      </w:r>
      <w:proofErr w:type="gramStart"/>
      <w:r w:rsidR="00B7185C">
        <w:rPr>
          <w:rFonts w:cs="Calibri"/>
          <w:sz w:val="24"/>
          <w:szCs w:val="24"/>
          <w:lang w:val="en-US"/>
        </w:rPr>
        <w:t>;4</w:t>
      </w:r>
      <w:proofErr w:type="gramEnd"/>
      <w:r w:rsidR="00B7185C">
        <w:rPr>
          <w:rFonts w:cs="Calibri"/>
          <w:sz w:val="24"/>
          <w:szCs w:val="24"/>
          <w:lang w:val="en-US"/>
        </w:rPr>
        <w:t>(2)</w:t>
      </w:r>
      <w:r w:rsidR="00B7185C" w:rsidRPr="001127CE">
        <w:rPr>
          <w:rFonts w:cs="Calibri"/>
          <w:sz w:val="24"/>
          <w:szCs w:val="24"/>
          <w:lang w:val="en-US"/>
        </w:rPr>
        <w:t>.</w:t>
      </w:r>
    </w:p>
    <w:p w14:paraId="60375173" w14:textId="09180AC9" w:rsidR="007F0C93" w:rsidRPr="00C26FD9" w:rsidRDefault="00B7185C" w:rsidP="007F0C93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B7185C">
        <w:rPr>
          <w:rFonts w:cs="Calibri"/>
          <w:sz w:val="24"/>
          <w:szCs w:val="24"/>
          <w:lang w:val="en-US"/>
        </w:rPr>
        <w:t xml:space="preserve">Stapleton PJ, </w:t>
      </w:r>
      <w:proofErr w:type="spellStart"/>
      <w:r w:rsidRPr="00B7185C">
        <w:rPr>
          <w:rFonts w:cs="Calibri"/>
          <w:sz w:val="24"/>
          <w:szCs w:val="24"/>
          <w:lang w:val="en-US"/>
        </w:rPr>
        <w:t>Lundon</w:t>
      </w:r>
      <w:proofErr w:type="spellEnd"/>
      <w:r w:rsidRPr="00B7185C">
        <w:rPr>
          <w:rFonts w:cs="Calibri"/>
          <w:sz w:val="24"/>
          <w:szCs w:val="24"/>
          <w:lang w:val="en-US"/>
        </w:rPr>
        <w:t xml:space="preserve"> DJ, </w:t>
      </w:r>
      <w:proofErr w:type="spellStart"/>
      <w:r w:rsidRPr="00B7185C">
        <w:rPr>
          <w:rFonts w:cs="Calibri"/>
          <w:sz w:val="24"/>
          <w:szCs w:val="24"/>
          <w:lang w:val="en-US"/>
        </w:rPr>
        <w:t>McWade</w:t>
      </w:r>
      <w:proofErr w:type="spellEnd"/>
      <w:r w:rsidRPr="00B7185C">
        <w:rPr>
          <w:rFonts w:cs="Calibri"/>
          <w:sz w:val="24"/>
          <w:szCs w:val="24"/>
          <w:lang w:val="en-US"/>
        </w:rPr>
        <w:t xml:space="preserve"> R, </w:t>
      </w:r>
      <w:r>
        <w:rPr>
          <w:rFonts w:cs="Calibri"/>
          <w:sz w:val="24"/>
          <w:szCs w:val="24"/>
          <w:lang w:val="en-US"/>
        </w:rPr>
        <w:t xml:space="preserve">Scanlon N, </w:t>
      </w:r>
      <w:proofErr w:type="spellStart"/>
      <w:r>
        <w:rPr>
          <w:rFonts w:cs="Calibri"/>
          <w:sz w:val="24"/>
          <w:szCs w:val="24"/>
          <w:lang w:val="en-US"/>
        </w:rPr>
        <w:t>Hannan</w:t>
      </w:r>
      <w:proofErr w:type="spellEnd"/>
      <w:r>
        <w:rPr>
          <w:rFonts w:cs="Calibri"/>
          <w:sz w:val="24"/>
          <w:szCs w:val="24"/>
          <w:lang w:val="en-US"/>
        </w:rPr>
        <w:t xml:space="preserve"> MM, O'Kelly F</w:t>
      </w:r>
      <w:r w:rsidR="007F0C93" w:rsidRPr="00C26FD9">
        <w:rPr>
          <w:rFonts w:cs="Calibri"/>
          <w:sz w:val="24"/>
          <w:szCs w:val="24"/>
          <w:lang w:val="en-US"/>
        </w:rPr>
        <w:t>, et al. Antibiotic resistance patterns of Escherichia coli urinary isolates and comparison with antibiotic consumption data over 10 years, 2005-2014. </w:t>
      </w:r>
      <w:proofErr w:type="spellStart"/>
      <w:r w:rsidR="007F0C93" w:rsidRPr="00C26FD9">
        <w:rPr>
          <w:rFonts w:cs="Calibri"/>
          <w:i/>
          <w:iCs/>
          <w:sz w:val="24"/>
          <w:szCs w:val="24"/>
          <w:lang w:val="en-US"/>
        </w:rPr>
        <w:t>Ir</w:t>
      </w:r>
      <w:proofErr w:type="spellEnd"/>
      <w:r w:rsidR="007F0C93" w:rsidRPr="00C26FD9">
        <w:rPr>
          <w:rFonts w:cs="Calibri"/>
          <w:i/>
          <w:iCs/>
          <w:sz w:val="24"/>
          <w:szCs w:val="24"/>
          <w:lang w:val="en-US"/>
        </w:rPr>
        <w:t xml:space="preserve"> J Med Sci</w:t>
      </w:r>
      <w:r w:rsidR="007F0C93" w:rsidRPr="00C26FD9">
        <w:rPr>
          <w:rFonts w:cs="Calibri"/>
          <w:sz w:val="24"/>
          <w:szCs w:val="24"/>
          <w:lang w:val="en-US"/>
        </w:rPr>
        <w:t>. 2017</w:t>
      </w:r>
      <w:proofErr w:type="gramStart"/>
      <w:r w:rsidR="007F0C93" w:rsidRPr="00C26FD9">
        <w:rPr>
          <w:rFonts w:cs="Calibri"/>
          <w:sz w:val="24"/>
          <w:szCs w:val="24"/>
          <w:lang w:val="en-US"/>
        </w:rPr>
        <w:t>;186</w:t>
      </w:r>
      <w:proofErr w:type="gramEnd"/>
      <w:r w:rsidR="007F0C93" w:rsidRPr="00C26FD9">
        <w:rPr>
          <w:rFonts w:cs="Calibri"/>
          <w:sz w:val="24"/>
          <w:szCs w:val="24"/>
          <w:lang w:val="en-US"/>
        </w:rPr>
        <w:t xml:space="preserve">(3):733-741. </w:t>
      </w:r>
    </w:p>
    <w:p w14:paraId="453C8F81" w14:textId="00D50034" w:rsidR="003673C1" w:rsidRPr="00C26FD9" w:rsidRDefault="00B7185C" w:rsidP="003673C1">
      <w:pPr>
        <w:pStyle w:val="a4"/>
        <w:numPr>
          <w:ilvl w:val="0"/>
          <w:numId w:val="1"/>
        </w:numPr>
        <w:rPr>
          <w:rFonts w:cs="Calibri"/>
          <w:sz w:val="24"/>
          <w:szCs w:val="24"/>
          <w:lang w:val="en-US"/>
        </w:rPr>
      </w:pPr>
      <w:r w:rsidRPr="00B7185C">
        <w:rPr>
          <w:rFonts w:cs="Calibri"/>
          <w:sz w:val="24"/>
          <w:szCs w:val="24"/>
          <w:lang w:val="en-US"/>
        </w:rPr>
        <w:t>Wong CKM, Kung K, Au</w:t>
      </w:r>
      <w:r>
        <w:rPr>
          <w:rFonts w:cs="Calibri"/>
          <w:sz w:val="24"/>
          <w:szCs w:val="24"/>
          <w:lang w:val="en-US"/>
        </w:rPr>
        <w:t>-</w:t>
      </w:r>
      <w:proofErr w:type="spellStart"/>
      <w:r>
        <w:rPr>
          <w:rFonts w:cs="Calibri"/>
          <w:sz w:val="24"/>
          <w:szCs w:val="24"/>
          <w:lang w:val="en-US"/>
        </w:rPr>
        <w:t>Doung</w:t>
      </w:r>
      <w:proofErr w:type="spellEnd"/>
      <w:r>
        <w:rPr>
          <w:rFonts w:cs="Calibri"/>
          <w:sz w:val="24"/>
          <w:szCs w:val="24"/>
          <w:lang w:val="en-US"/>
        </w:rPr>
        <w:t xml:space="preserve"> PLW, </w:t>
      </w:r>
      <w:proofErr w:type="spellStart"/>
      <w:r>
        <w:rPr>
          <w:rFonts w:cs="Calibri"/>
          <w:sz w:val="24"/>
          <w:szCs w:val="24"/>
          <w:lang w:val="en-US"/>
        </w:rPr>
        <w:t>Ip</w:t>
      </w:r>
      <w:proofErr w:type="spellEnd"/>
      <w:r>
        <w:rPr>
          <w:rFonts w:cs="Calibri"/>
          <w:sz w:val="24"/>
          <w:szCs w:val="24"/>
          <w:lang w:val="en-US"/>
        </w:rPr>
        <w:t xml:space="preserve"> M, Lee N, Fung A</w:t>
      </w:r>
      <w:r w:rsidR="003673C1" w:rsidRPr="00C26FD9">
        <w:rPr>
          <w:rFonts w:cs="Calibri"/>
          <w:sz w:val="24"/>
          <w:szCs w:val="24"/>
          <w:lang w:val="en-US"/>
        </w:rPr>
        <w:t xml:space="preserve">, et al. Antibiotic resistance rates and physician antibiotic prescription patterns of uncomplicated urinary tract infections in southern Chinese primary care [published correction appears in </w:t>
      </w:r>
      <w:proofErr w:type="spellStart"/>
      <w:r w:rsidR="003673C1" w:rsidRPr="00C26FD9">
        <w:rPr>
          <w:rFonts w:cs="Calibri"/>
          <w:sz w:val="24"/>
          <w:szCs w:val="24"/>
          <w:lang w:val="en-US"/>
        </w:rPr>
        <w:t>PLoS</w:t>
      </w:r>
      <w:proofErr w:type="spellEnd"/>
      <w:r w:rsidR="003673C1" w:rsidRPr="00C26FD9">
        <w:rPr>
          <w:rFonts w:cs="Calibri"/>
          <w:sz w:val="24"/>
          <w:szCs w:val="24"/>
          <w:lang w:val="en-US"/>
        </w:rPr>
        <w:t xml:space="preserve"> One. 2018 Feb 23;13(2):e0192466]. </w:t>
      </w:r>
      <w:proofErr w:type="spellStart"/>
      <w:r w:rsidR="003673C1" w:rsidRPr="00C26FD9">
        <w:rPr>
          <w:rFonts w:cs="Calibri"/>
          <w:sz w:val="24"/>
          <w:szCs w:val="24"/>
          <w:lang w:val="en-US"/>
        </w:rPr>
        <w:t>PLoS</w:t>
      </w:r>
      <w:proofErr w:type="spellEnd"/>
      <w:r w:rsidR="003673C1" w:rsidRPr="00C26FD9">
        <w:rPr>
          <w:rFonts w:cs="Calibri"/>
          <w:sz w:val="24"/>
          <w:szCs w:val="24"/>
          <w:lang w:val="en-US"/>
        </w:rPr>
        <w:t xml:space="preserve"> One. 2017</w:t>
      </w:r>
      <w:proofErr w:type="gramStart"/>
      <w:r w:rsidR="003673C1" w:rsidRPr="00C26FD9">
        <w:rPr>
          <w:rFonts w:cs="Calibri"/>
          <w:sz w:val="24"/>
          <w:szCs w:val="24"/>
          <w:lang w:val="en-US"/>
        </w:rPr>
        <w:t>;12</w:t>
      </w:r>
      <w:proofErr w:type="gramEnd"/>
      <w:r w:rsidR="003673C1" w:rsidRPr="00C26FD9">
        <w:rPr>
          <w:rFonts w:cs="Calibri"/>
          <w:sz w:val="24"/>
          <w:szCs w:val="24"/>
          <w:lang w:val="en-US"/>
        </w:rPr>
        <w:t xml:space="preserve">(5):e0177266. </w:t>
      </w:r>
    </w:p>
    <w:p w14:paraId="3F5A22D4" w14:textId="2C605B50" w:rsidR="00F160F6" w:rsidRPr="00C26FD9" w:rsidRDefault="00B7185C" w:rsidP="00F160F6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B7185C">
        <w:rPr>
          <w:rFonts w:cs="Calibri"/>
          <w:sz w:val="24"/>
          <w:szCs w:val="24"/>
          <w:lang w:val="en-US"/>
        </w:rPr>
        <w:t xml:space="preserve">Rossignol L, Vaux S, </w:t>
      </w:r>
      <w:proofErr w:type="spellStart"/>
      <w:r w:rsidRPr="00B7185C">
        <w:rPr>
          <w:rFonts w:cs="Calibri"/>
          <w:sz w:val="24"/>
          <w:szCs w:val="24"/>
          <w:lang w:val="en-US"/>
        </w:rPr>
        <w:t>Mauga</w:t>
      </w:r>
      <w:r>
        <w:rPr>
          <w:rFonts w:cs="Calibri"/>
          <w:sz w:val="24"/>
          <w:szCs w:val="24"/>
          <w:lang w:val="en-US"/>
        </w:rPr>
        <w:t>t</w:t>
      </w:r>
      <w:proofErr w:type="spellEnd"/>
      <w:r>
        <w:rPr>
          <w:rFonts w:cs="Calibri"/>
          <w:sz w:val="24"/>
          <w:szCs w:val="24"/>
          <w:lang w:val="en-US"/>
        </w:rPr>
        <w:t xml:space="preserve"> S, Blake A, </w:t>
      </w:r>
      <w:proofErr w:type="spellStart"/>
      <w:r>
        <w:rPr>
          <w:rFonts w:cs="Calibri"/>
          <w:sz w:val="24"/>
          <w:szCs w:val="24"/>
          <w:lang w:val="en-US"/>
        </w:rPr>
        <w:t>Barlier</w:t>
      </w:r>
      <w:proofErr w:type="spellEnd"/>
      <w:r>
        <w:rPr>
          <w:rFonts w:cs="Calibri"/>
          <w:sz w:val="24"/>
          <w:szCs w:val="24"/>
          <w:lang w:val="en-US"/>
        </w:rPr>
        <w:t xml:space="preserve"> R, </w:t>
      </w:r>
      <w:proofErr w:type="spellStart"/>
      <w:r>
        <w:rPr>
          <w:rFonts w:cs="Calibri"/>
          <w:sz w:val="24"/>
          <w:szCs w:val="24"/>
          <w:lang w:val="en-US"/>
        </w:rPr>
        <w:t>Heym</w:t>
      </w:r>
      <w:proofErr w:type="spellEnd"/>
      <w:r>
        <w:rPr>
          <w:rFonts w:cs="Calibri"/>
          <w:sz w:val="24"/>
          <w:szCs w:val="24"/>
          <w:lang w:val="en-US"/>
        </w:rPr>
        <w:t xml:space="preserve"> B</w:t>
      </w:r>
      <w:r w:rsidR="00D60E4E" w:rsidRPr="00C26FD9">
        <w:rPr>
          <w:rFonts w:cs="Calibri"/>
          <w:sz w:val="24"/>
          <w:szCs w:val="24"/>
          <w:lang w:val="en-US"/>
        </w:rPr>
        <w:t>, et al. Incidence of urinary tract infections and antibiotic resistance in the outpatient setting: a cross-sectional study. </w:t>
      </w:r>
      <w:r w:rsidR="00D60E4E" w:rsidRPr="00C26FD9">
        <w:rPr>
          <w:rFonts w:cs="Calibri"/>
          <w:i/>
          <w:iCs/>
          <w:sz w:val="24"/>
          <w:szCs w:val="24"/>
          <w:lang w:val="en-US"/>
        </w:rPr>
        <w:t>Infection</w:t>
      </w:r>
      <w:r w:rsidR="00D60E4E" w:rsidRPr="00C26FD9">
        <w:rPr>
          <w:rFonts w:cs="Calibri"/>
          <w:sz w:val="24"/>
          <w:szCs w:val="24"/>
          <w:lang w:val="en-US"/>
        </w:rPr>
        <w:t>. 2017</w:t>
      </w:r>
      <w:proofErr w:type="gramStart"/>
      <w:r w:rsidR="00D60E4E" w:rsidRPr="00C26FD9">
        <w:rPr>
          <w:rFonts w:cs="Calibri"/>
          <w:sz w:val="24"/>
          <w:szCs w:val="24"/>
          <w:lang w:val="en-US"/>
        </w:rPr>
        <w:t>;45</w:t>
      </w:r>
      <w:proofErr w:type="gramEnd"/>
      <w:r w:rsidR="00D60E4E" w:rsidRPr="00C26FD9">
        <w:rPr>
          <w:rFonts w:cs="Calibri"/>
          <w:sz w:val="24"/>
          <w:szCs w:val="24"/>
          <w:lang w:val="en-US"/>
        </w:rPr>
        <w:t xml:space="preserve">(1):33-40. </w:t>
      </w:r>
    </w:p>
    <w:p w14:paraId="7FF6E61E" w14:textId="6053B0E2" w:rsidR="00283443" w:rsidRPr="00C26FD9" w:rsidRDefault="00B7185C" w:rsidP="00283443">
      <w:pPr>
        <w:pStyle w:val="a4"/>
        <w:numPr>
          <w:ilvl w:val="0"/>
          <w:numId w:val="1"/>
        </w:numPr>
        <w:rPr>
          <w:rFonts w:cs="Calibri"/>
          <w:sz w:val="24"/>
          <w:szCs w:val="24"/>
          <w:lang w:val="en-US"/>
        </w:rPr>
      </w:pPr>
      <w:r w:rsidRPr="00B7185C">
        <w:rPr>
          <w:rFonts w:cs="Calibri"/>
          <w:sz w:val="24"/>
          <w:szCs w:val="24"/>
          <w:lang w:val="en-US"/>
        </w:rPr>
        <w:t>Yang B, Yang F</w:t>
      </w:r>
      <w:r>
        <w:rPr>
          <w:rFonts w:cs="Calibri"/>
          <w:sz w:val="24"/>
          <w:szCs w:val="24"/>
          <w:lang w:val="en-US"/>
        </w:rPr>
        <w:t>, Wang S, Wang Q, Liu Z, Feng W</w:t>
      </w:r>
      <w:r w:rsidR="00283443" w:rsidRPr="00C26FD9">
        <w:rPr>
          <w:rFonts w:cs="Calibri"/>
          <w:sz w:val="24"/>
          <w:szCs w:val="24"/>
          <w:lang w:val="en-US"/>
        </w:rPr>
        <w:t xml:space="preserve">, et al. Analysis of the spectrum and antibiotic resistance of </w:t>
      </w:r>
      <w:proofErr w:type="spellStart"/>
      <w:r w:rsidR="00283443" w:rsidRPr="00C26FD9">
        <w:rPr>
          <w:rFonts w:cs="Calibri"/>
          <w:sz w:val="24"/>
          <w:szCs w:val="24"/>
          <w:lang w:val="en-US"/>
        </w:rPr>
        <w:t>uropathogens</w:t>
      </w:r>
      <w:proofErr w:type="spellEnd"/>
      <w:r w:rsidR="00283443" w:rsidRPr="00C26FD9">
        <w:rPr>
          <w:rFonts w:cs="Calibri"/>
          <w:sz w:val="24"/>
          <w:szCs w:val="24"/>
          <w:lang w:val="en-US"/>
        </w:rPr>
        <w:t xml:space="preserve"> in outpatients at a tertiary hospital. J </w:t>
      </w:r>
      <w:proofErr w:type="spellStart"/>
      <w:r w:rsidR="00283443" w:rsidRPr="00C26FD9">
        <w:rPr>
          <w:rFonts w:cs="Calibri"/>
          <w:sz w:val="24"/>
          <w:szCs w:val="24"/>
          <w:lang w:val="en-US"/>
        </w:rPr>
        <w:t>Chemother</w:t>
      </w:r>
      <w:proofErr w:type="spellEnd"/>
      <w:r w:rsidR="00283443" w:rsidRPr="00C26FD9">
        <w:rPr>
          <w:rFonts w:cs="Calibri"/>
          <w:sz w:val="24"/>
          <w:szCs w:val="24"/>
          <w:lang w:val="en-US"/>
        </w:rPr>
        <w:t>. 2018</w:t>
      </w:r>
      <w:proofErr w:type="gramStart"/>
      <w:r w:rsidR="00283443" w:rsidRPr="00C26FD9">
        <w:rPr>
          <w:rFonts w:cs="Calibri"/>
          <w:sz w:val="24"/>
          <w:szCs w:val="24"/>
          <w:lang w:val="en-US"/>
        </w:rPr>
        <w:t>;30</w:t>
      </w:r>
      <w:proofErr w:type="gramEnd"/>
      <w:r w:rsidR="00283443" w:rsidRPr="00C26FD9">
        <w:rPr>
          <w:rFonts w:cs="Calibri"/>
          <w:sz w:val="24"/>
          <w:szCs w:val="24"/>
          <w:lang w:val="en-US"/>
        </w:rPr>
        <w:t xml:space="preserve">(3):145-149. </w:t>
      </w:r>
    </w:p>
    <w:p w14:paraId="3DE71B90" w14:textId="05B5B116" w:rsidR="005B74ED" w:rsidRPr="00B7185C" w:rsidRDefault="00C2685C" w:rsidP="005B74ED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proofErr w:type="spellStart"/>
      <w:r w:rsidRPr="00C26FD9">
        <w:rPr>
          <w:rFonts w:cs="Calibri"/>
          <w:sz w:val="24"/>
          <w:szCs w:val="24"/>
          <w:lang w:val="en-US"/>
        </w:rPr>
        <w:t>Rizwan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M, Akhtar M, </w:t>
      </w:r>
      <w:proofErr w:type="spellStart"/>
      <w:r w:rsidRPr="00C26FD9">
        <w:rPr>
          <w:rFonts w:cs="Calibri"/>
          <w:sz w:val="24"/>
          <w:szCs w:val="24"/>
          <w:lang w:val="en-US"/>
        </w:rPr>
        <w:t>Najmi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AK, Singh K. Escherichia coli and </w:t>
      </w:r>
      <w:proofErr w:type="spellStart"/>
      <w:r w:rsidRPr="00C26FD9">
        <w:rPr>
          <w:rFonts w:cs="Calibri"/>
          <w:sz w:val="24"/>
          <w:szCs w:val="24"/>
          <w:lang w:val="en-US"/>
        </w:rPr>
        <w:t>Klebsiella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26FD9">
        <w:rPr>
          <w:rFonts w:cs="Calibri"/>
          <w:sz w:val="24"/>
          <w:szCs w:val="24"/>
          <w:lang w:val="en-US"/>
        </w:rPr>
        <w:t>pneumoniae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Sensitivity/Resistance Pattern Towards Antimicrobial Agents in Primary and Simple Urinary Tract Infection Patients Visiting University Hospital of </w:t>
      </w:r>
      <w:proofErr w:type="spellStart"/>
      <w:r w:rsidRPr="00C26FD9">
        <w:rPr>
          <w:rFonts w:cs="Calibri"/>
          <w:sz w:val="24"/>
          <w:szCs w:val="24"/>
          <w:lang w:val="en-US"/>
        </w:rPr>
        <w:t>Jamia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26FD9">
        <w:rPr>
          <w:rFonts w:cs="Calibri"/>
          <w:sz w:val="24"/>
          <w:szCs w:val="24"/>
          <w:lang w:val="en-US"/>
        </w:rPr>
        <w:t>Hamdard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New Delhi. </w:t>
      </w:r>
      <w:r w:rsidRPr="00C26FD9">
        <w:rPr>
          <w:rFonts w:cs="Calibri"/>
          <w:i/>
          <w:iCs/>
          <w:sz w:val="24"/>
          <w:szCs w:val="24"/>
          <w:lang w:val="en-US"/>
        </w:rPr>
        <w:t>Drug Res (</w:t>
      </w:r>
      <w:proofErr w:type="spellStart"/>
      <w:r w:rsidRPr="00C26FD9">
        <w:rPr>
          <w:rFonts w:cs="Calibri"/>
          <w:i/>
          <w:iCs/>
          <w:sz w:val="24"/>
          <w:szCs w:val="24"/>
          <w:lang w:val="en-US"/>
        </w:rPr>
        <w:t>Stuttg</w:t>
      </w:r>
      <w:proofErr w:type="spellEnd"/>
      <w:r w:rsidRPr="00C26FD9">
        <w:rPr>
          <w:rFonts w:cs="Calibri"/>
          <w:i/>
          <w:iCs/>
          <w:sz w:val="24"/>
          <w:szCs w:val="24"/>
          <w:lang w:val="en-US"/>
        </w:rPr>
        <w:t>)</w:t>
      </w:r>
      <w:r w:rsidRPr="00C26FD9">
        <w:rPr>
          <w:rFonts w:cs="Calibri"/>
          <w:sz w:val="24"/>
          <w:szCs w:val="24"/>
          <w:lang w:val="en-US"/>
        </w:rPr>
        <w:t>. 2018</w:t>
      </w:r>
      <w:proofErr w:type="gramStart"/>
      <w:r w:rsidRPr="00C26FD9">
        <w:rPr>
          <w:rFonts w:cs="Calibri"/>
          <w:sz w:val="24"/>
          <w:szCs w:val="24"/>
          <w:lang w:val="en-US"/>
        </w:rPr>
        <w:t>;68</w:t>
      </w:r>
      <w:proofErr w:type="gramEnd"/>
      <w:r w:rsidRPr="00C26FD9">
        <w:rPr>
          <w:rFonts w:cs="Calibri"/>
          <w:sz w:val="24"/>
          <w:szCs w:val="24"/>
          <w:lang w:val="en-US"/>
        </w:rPr>
        <w:t xml:space="preserve">(7):415-420. </w:t>
      </w:r>
    </w:p>
    <w:p w14:paraId="66193728" w14:textId="26574A72" w:rsidR="000E236E" w:rsidRPr="00EF31EE" w:rsidRDefault="000E236E" w:rsidP="000E236E">
      <w:pPr>
        <w:pStyle w:val="a4"/>
        <w:numPr>
          <w:ilvl w:val="0"/>
          <w:numId w:val="1"/>
        </w:numPr>
        <w:rPr>
          <w:rFonts w:eastAsia="Times New Roman" w:cs="Segoe UI"/>
          <w:color w:val="212121"/>
          <w:sz w:val="24"/>
          <w:szCs w:val="24"/>
          <w:lang w:val="en-US" w:eastAsia="ru-RU"/>
        </w:rPr>
      </w:pPr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Zilberberg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MD,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Nathanson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BH,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Sulham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K,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Shorr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AF. Antimicrobial Susceptibility and Cross-Resistance Patterns among Common Complicated Urinary Tract Infections in U.S. Hospitals, 2013 to 2018.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Antimicrob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Agents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Chemother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. 2020</w:t>
      </w:r>
      <w:proofErr w:type="gram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;64</w:t>
      </w:r>
      <w:proofErr w:type="gram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(8):e00346-20. </w:t>
      </w:r>
    </w:p>
    <w:p w14:paraId="7065DD2F" w14:textId="7DCFCCC1" w:rsidR="000C692F" w:rsidRPr="00EF31EE" w:rsidRDefault="007D0FBC" w:rsidP="000C69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val="en-US" w:eastAsia="ru-RU"/>
        </w:rPr>
      </w:pPr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Bahramian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A,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Eslami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G,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Hashemi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A,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Tabibi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A,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Heidary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M. Emergence of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fosfomycin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resistance among isolates of Escherichia coli harboring extended-spectrum and </w:t>
      </w:r>
      <w:proofErr w:type="spellStart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AmpC</w:t>
      </w:r>
      <w:proofErr w:type="spellEnd"/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 xml:space="preserve"> </w:t>
      </w:r>
      <w:r w:rsidRPr="00EF31EE">
        <w:rPr>
          <w:rFonts w:eastAsia="Times New Roman" w:cs="Segoe UI"/>
          <w:color w:val="212121"/>
          <w:sz w:val="24"/>
          <w:szCs w:val="24"/>
          <w:lang w:eastAsia="ru-RU"/>
        </w:rPr>
        <w:t>β</w:t>
      </w:r>
      <w:r w:rsidRPr="00EF31EE">
        <w:rPr>
          <w:rFonts w:eastAsia="Times New Roman" w:cs="Segoe UI"/>
          <w:color w:val="212121"/>
          <w:sz w:val="24"/>
          <w:szCs w:val="24"/>
          <w:lang w:val="en-US" w:eastAsia="ru-RU"/>
        </w:rPr>
        <w:t>-lactamases. </w:t>
      </w:r>
      <w:proofErr w:type="spellStart"/>
      <w:r w:rsidRPr="00B7185C">
        <w:rPr>
          <w:rFonts w:eastAsia="Times New Roman" w:cs="Segoe UI"/>
          <w:i/>
          <w:iCs/>
          <w:color w:val="212121"/>
          <w:sz w:val="24"/>
          <w:szCs w:val="24"/>
          <w:lang w:val="en-US" w:eastAsia="ru-RU"/>
        </w:rPr>
        <w:t>Acta</w:t>
      </w:r>
      <w:proofErr w:type="spellEnd"/>
      <w:r w:rsidRPr="00B7185C">
        <w:rPr>
          <w:rFonts w:eastAsia="Times New Roman" w:cs="Segoe UI"/>
          <w:i/>
          <w:iCs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B7185C">
        <w:rPr>
          <w:rFonts w:eastAsia="Times New Roman" w:cs="Segoe UI"/>
          <w:i/>
          <w:iCs/>
          <w:color w:val="212121"/>
          <w:sz w:val="24"/>
          <w:szCs w:val="24"/>
          <w:lang w:val="en-US" w:eastAsia="ru-RU"/>
        </w:rPr>
        <w:t>Microbiol</w:t>
      </w:r>
      <w:proofErr w:type="spellEnd"/>
      <w:r w:rsidRPr="00B7185C">
        <w:rPr>
          <w:rFonts w:eastAsia="Times New Roman" w:cs="Segoe UI"/>
          <w:i/>
          <w:iCs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B7185C">
        <w:rPr>
          <w:rFonts w:eastAsia="Times New Roman" w:cs="Segoe UI"/>
          <w:i/>
          <w:iCs/>
          <w:color w:val="212121"/>
          <w:sz w:val="24"/>
          <w:szCs w:val="24"/>
          <w:lang w:val="en-US" w:eastAsia="ru-RU"/>
        </w:rPr>
        <w:t>Immunol</w:t>
      </w:r>
      <w:proofErr w:type="spellEnd"/>
      <w:r w:rsidRPr="00B7185C">
        <w:rPr>
          <w:rFonts w:eastAsia="Times New Roman" w:cs="Segoe UI"/>
          <w:i/>
          <w:iCs/>
          <w:color w:val="212121"/>
          <w:sz w:val="24"/>
          <w:szCs w:val="24"/>
          <w:lang w:val="en-US" w:eastAsia="ru-RU"/>
        </w:rPr>
        <w:t xml:space="preserve"> Hung</w:t>
      </w:r>
      <w:r w:rsidRPr="00B7185C">
        <w:rPr>
          <w:rFonts w:eastAsia="Times New Roman" w:cs="Segoe UI"/>
          <w:color w:val="212121"/>
          <w:sz w:val="24"/>
          <w:szCs w:val="24"/>
          <w:lang w:val="en-US" w:eastAsia="ru-RU"/>
        </w:rPr>
        <w:t>. 2018</w:t>
      </w:r>
      <w:proofErr w:type="gramStart"/>
      <w:r w:rsidRPr="00B7185C">
        <w:rPr>
          <w:rFonts w:eastAsia="Times New Roman" w:cs="Segoe UI"/>
          <w:color w:val="212121"/>
          <w:sz w:val="24"/>
          <w:szCs w:val="24"/>
          <w:lang w:val="en-US" w:eastAsia="ru-RU"/>
        </w:rPr>
        <w:t>;65</w:t>
      </w:r>
      <w:proofErr w:type="gramEnd"/>
      <w:r w:rsidRPr="00B7185C">
        <w:rPr>
          <w:rFonts w:eastAsia="Times New Roman" w:cs="Segoe UI"/>
          <w:color w:val="212121"/>
          <w:sz w:val="24"/>
          <w:szCs w:val="24"/>
          <w:lang w:val="en-US" w:eastAsia="ru-RU"/>
        </w:rPr>
        <w:t>(1):15-25.</w:t>
      </w:r>
    </w:p>
    <w:p w14:paraId="0EE3443F" w14:textId="5EF0D859" w:rsidR="00C53841" w:rsidRPr="00C26FD9" w:rsidRDefault="00B7185C" w:rsidP="00C53841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B7185C">
        <w:rPr>
          <w:rFonts w:cs="Calibri"/>
          <w:sz w:val="24"/>
          <w:szCs w:val="24"/>
          <w:lang w:val="en-US"/>
        </w:rPr>
        <w:t xml:space="preserve">Romero Palacios A, Al </w:t>
      </w:r>
      <w:proofErr w:type="spellStart"/>
      <w:r w:rsidRPr="00B7185C">
        <w:rPr>
          <w:rFonts w:cs="Calibri"/>
          <w:sz w:val="24"/>
          <w:szCs w:val="24"/>
          <w:lang w:val="en-US"/>
        </w:rPr>
        <w:t>Dhufairi</w:t>
      </w:r>
      <w:proofErr w:type="spellEnd"/>
      <w:r w:rsidRPr="00B7185C">
        <w:rPr>
          <w:rFonts w:cs="Calibri"/>
          <w:sz w:val="24"/>
          <w:szCs w:val="24"/>
          <w:lang w:val="en-US"/>
        </w:rPr>
        <w:t xml:space="preserve"> F, Ellis C, Smy</w:t>
      </w:r>
      <w:r>
        <w:rPr>
          <w:rFonts w:cs="Calibri"/>
          <w:sz w:val="24"/>
          <w:szCs w:val="24"/>
          <w:lang w:val="en-US"/>
        </w:rPr>
        <w:t xml:space="preserve">th D, </w:t>
      </w:r>
      <w:proofErr w:type="spellStart"/>
      <w:r>
        <w:rPr>
          <w:rFonts w:cs="Calibri"/>
          <w:sz w:val="24"/>
          <w:szCs w:val="24"/>
          <w:lang w:val="en-US"/>
        </w:rPr>
        <w:t>Mieusement</w:t>
      </w:r>
      <w:proofErr w:type="spellEnd"/>
      <w:r>
        <w:rPr>
          <w:rFonts w:cs="Calibri"/>
          <w:sz w:val="24"/>
          <w:szCs w:val="24"/>
          <w:lang w:val="en-US"/>
        </w:rPr>
        <w:t xml:space="preserve"> LMD, </w:t>
      </w:r>
      <w:proofErr w:type="spellStart"/>
      <w:r>
        <w:rPr>
          <w:rFonts w:cs="Calibri"/>
          <w:sz w:val="24"/>
          <w:szCs w:val="24"/>
          <w:lang w:val="en-US"/>
        </w:rPr>
        <w:t>McGeer</w:t>
      </w:r>
      <w:proofErr w:type="spellEnd"/>
      <w:r>
        <w:rPr>
          <w:rFonts w:cs="Calibri"/>
          <w:sz w:val="24"/>
          <w:szCs w:val="24"/>
          <w:lang w:val="en-US"/>
        </w:rPr>
        <w:t xml:space="preserve"> A</w:t>
      </w:r>
      <w:r w:rsidR="00FC5F2F" w:rsidRPr="00C26FD9">
        <w:rPr>
          <w:rFonts w:cs="Calibri"/>
          <w:sz w:val="24"/>
          <w:szCs w:val="24"/>
          <w:lang w:val="it-IT"/>
        </w:rPr>
        <w:t xml:space="preserve">, et al. </w:t>
      </w:r>
      <w:r w:rsidR="00FC5F2F" w:rsidRPr="00C26FD9">
        <w:rPr>
          <w:rFonts w:cs="Calibri"/>
          <w:sz w:val="24"/>
          <w:szCs w:val="24"/>
          <w:lang w:val="en-US"/>
        </w:rPr>
        <w:t xml:space="preserve">Resistance patterns of </w:t>
      </w:r>
      <w:proofErr w:type="spellStart"/>
      <w:r w:rsidR="00FC5F2F" w:rsidRPr="00C26FD9">
        <w:rPr>
          <w:rFonts w:cs="Calibri"/>
          <w:sz w:val="24"/>
          <w:szCs w:val="24"/>
          <w:lang w:val="en-US"/>
        </w:rPr>
        <w:t>Enterobacteriaceae</w:t>
      </w:r>
      <w:proofErr w:type="spellEnd"/>
      <w:r w:rsidR="00FC5F2F" w:rsidRPr="00C26FD9">
        <w:rPr>
          <w:rFonts w:cs="Calibri"/>
          <w:sz w:val="24"/>
          <w:szCs w:val="24"/>
          <w:lang w:val="en-US"/>
        </w:rPr>
        <w:t xml:space="preserve"> in urines are similar in symptomatic and asymptomatic patients. </w:t>
      </w:r>
      <w:r w:rsidR="00FC5F2F" w:rsidRPr="00C26FD9">
        <w:rPr>
          <w:rFonts w:cs="Calibri"/>
          <w:i/>
          <w:iCs/>
          <w:sz w:val="24"/>
          <w:szCs w:val="24"/>
          <w:lang w:val="en-US"/>
        </w:rPr>
        <w:t xml:space="preserve">J </w:t>
      </w:r>
      <w:proofErr w:type="spellStart"/>
      <w:r w:rsidR="00FC5F2F" w:rsidRPr="00C26FD9">
        <w:rPr>
          <w:rFonts w:cs="Calibri"/>
          <w:i/>
          <w:iCs/>
          <w:sz w:val="24"/>
          <w:szCs w:val="24"/>
          <w:lang w:val="en-US"/>
        </w:rPr>
        <w:t>Hosp</w:t>
      </w:r>
      <w:proofErr w:type="spellEnd"/>
      <w:r w:rsidR="00FC5F2F" w:rsidRPr="00C26FD9">
        <w:rPr>
          <w:rFonts w:cs="Calibri"/>
          <w:i/>
          <w:iCs/>
          <w:sz w:val="24"/>
          <w:szCs w:val="24"/>
          <w:lang w:val="en-US"/>
        </w:rPr>
        <w:t xml:space="preserve"> Infect</w:t>
      </w:r>
      <w:r w:rsidR="00FC5F2F" w:rsidRPr="00C26FD9">
        <w:rPr>
          <w:rFonts w:cs="Calibri"/>
          <w:sz w:val="24"/>
          <w:szCs w:val="24"/>
          <w:lang w:val="en-US"/>
        </w:rPr>
        <w:t>. 2018</w:t>
      </w:r>
      <w:proofErr w:type="gramStart"/>
      <w:r w:rsidR="00FC5F2F" w:rsidRPr="00C26FD9">
        <w:rPr>
          <w:rFonts w:cs="Calibri"/>
          <w:sz w:val="24"/>
          <w:szCs w:val="24"/>
          <w:lang w:val="en-US"/>
        </w:rPr>
        <w:t>;99</w:t>
      </w:r>
      <w:proofErr w:type="gramEnd"/>
      <w:r w:rsidR="00FC5F2F" w:rsidRPr="00C26FD9">
        <w:rPr>
          <w:rFonts w:cs="Calibri"/>
          <w:sz w:val="24"/>
          <w:szCs w:val="24"/>
          <w:lang w:val="en-US"/>
        </w:rPr>
        <w:t xml:space="preserve">(4):419-421. </w:t>
      </w:r>
    </w:p>
    <w:p w14:paraId="3FBDD537" w14:textId="55D1C459" w:rsidR="00C53841" w:rsidRPr="00B7185C" w:rsidRDefault="00C53841" w:rsidP="00C53841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3F12" w:rsidRPr="00C26FD9">
        <w:rPr>
          <w:rFonts w:cs="Calibri"/>
          <w:sz w:val="24"/>
          <w:szCs w:val="24"/>
          <w:lang w:val="en-US"/>
        </w:rPr>
        <w:t>Bitew</w:t>
      </w:r>
      <w:proofErr w:type="spellEnd"/>
      <w:r w:rsidR="00213F12" w:rsidRPr="00C26FD9">
        <w:rPr>
          <w:rFonts w:cs="Calibri"/>
          <w:sz w:val="24"/>
          <w:szCs w:val="24"/>
          <w:lang w:val="en-US"/>
        </w:rPr>
        <w:t xml:space="preserve"> A, </w:t>
      </w:r>
      <w:proofErr w:type="spellStart"/>
      <w:r w:rsidR="00213F12" w:rsidRPr="00C26FD9">
        <w:rPr>
          <w:rFonts w:cs="Calibri"/>
          <w:sz w:val="24"/>
          <w:szCs w:val="24"/>
          <w:lang w:val="en-US"/>
        </w:rPr>
        <w:t>Molalign</w:t>
      </w:r>
      <w:proofErr w:type="spellEnd"/>
      <w:r w:rsidR="00213F12" w:rsidRPr="00C26FD9">
        <w:rPr>
          <w:rFonts w:cs="Calibri"/>
          <w:sz w:val="24"/>
          <w:szCs w:val="24"/>
          <w:lang w:val="en-US"/>
        </w:rPr>
        <w:t xml:space="preserve"> T, </w:t>
      </w:r>
      <w:proofErr w:type="spellStart"/>
      <w:r w:rsidR="00213F12" w:rsidRPr="00C26FD9">
        <w:rPr>
          <w:rFonts w:cs="Calibri"/>
          <w:sz w:val="24"/>
          <w:szCs w:val="24"/>
          <w:lang w:val="en-US"/>
        </w:rPr>
        <w:t>Chanie</w:t>
      </w:r>
      <w:proofErr w:type="spellEnd"/>
      <w:r w:rsidR="00213F12" w:rsidRPr="00C26FD9">
        <w:rPr>
          <w:rFonts w:cs="Calibri"/>
          <w:sz w:val="24"/>
          <w:szCs w:val="24"/>
          <w:lang w:val="en-US"/>
        </w:rPr>
        <w:t xml:space="preserve"> M. Species distribution and antibiotic susceptibility profile of bacterial </w:t>
      </w:r>
      <w:proofErr w:type="spellStart"/>
      <w:r w:rsidR="00213F12" w:rsidRPr="00C26FD9">
        <w:rPr>
          <w:rFonts w:cs="Calibri"/>
          <w:sz w:val="24"/>
          <w:szCs w:val="24"/>
          <w:lang w:val="en-US"/>
        </w:rPr>
        <w:t>uropathogens</w:t>
      </w:r>
      <w:proofErr w:type="spellEnd"/>
      <w:r w:rsidR="00213F12" w:rsidRPr="00C26FD9">
        <w:rPr>
          <w:rFonts w:cs="Calibri"/>
          <w:sz w:val="24"/>
          <w:szCs w:val="24"/>
          <w:lang w:val="en-US"/>
        </w:rPr>
        <w:t xml:space="preserve"> among patients complaining urinary tract infections. </w:t>
      </w:r>
      <w:r w:rsidR="00213F12" w:rsidRPr="00C26FD9">
        <w:rPr>
          <w:rFonts w:cs="Calibri"/>
          <w:i/>
          <w:iCs/>
          <w:sz w:val="24"/>
          <w:szCs w:val="24"/>
          <w:lang w:val="en-US"/>
        </w:rPr>
        <w:t>BMC Infect Dis</w:t>
      </w:r>
      <w:r w:rsidR="00213F12" w:rsidRPr="00C26FD9">
        <w:rPr>
          <w:rFonts w:cs="Calibri"/>
          <w:sz w:val="24"/>
          <w:szCs w:val="24"/>
          <w:lang w:val="en-US"/>
        </w:rPr>
        <w:t>. 2017</w:t>
      </w:r>
      <w:proofErr w:type="gramStart"/>
      <w:r w:rsidR="00213F12" w:rsidRPr="00C26FD9">
        <w:rPr>
          <w:rFonts w:cs="Calibri"/>
          <w:sz w:val="24"/>
          <w:szCs w:val="24"/>
          <w:lang w:val="en-US"/>
        </w:rPr>
        <w:t>;17</w:t>
      </w:r>
      <w:proofErr w:type="gramEnd"/>
      <w:r w:rsidR="00213F12" w:rsidRPr="00C26FD9">
        <w:rPr>
          <w:rFonts w:cs="Calibri"/>
          <w:sz w:val="24"/>
          <w:szCs w:val="24"/>
          <w:lang w:val="en-US"/>
        </w:rPr>
        <w:t xml:space="preserve">(1):654. </w:t>
      </w:r>
    </w:p>
    <w:p w14:paraId="70A97EE3" w14:textId="6B6669DD" w:rsidR="00C53841" w:rsidRPr="00C26FD9" w:rsidRDefault="00C03999" w:rsidP="00DE45BA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C26FD9">
        <w:rPr>
          <w:rFonts w:cs="Calibri"/>
          <w:sz w:val="24"/>
          <w:szCs w:val="24"/>
          <w:lang w:val="en-US"/>
        </w:rPr>
        <w:t xml:space="preserve">Al </w:t>
      </w:r>
      <w:proofErr w:type="spellStart"/>
      <w:r w:rsidRPr="00C26FD9">
        <w:rPr>
          <w:rFonts w:cs="Calibri"/>
          <w:sz w:val="24"/>
          <w:szCs w:val="24"/>
          <w:lang w:val="en-US"/>
        </w:rPr>
        <w:t>Wutayd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O, Al </w:t>
      </w:r>
      <w:proofErr w:type="spellStart"/>
      <w:r w:rsidRPr="00C26FD9">
        <w:rPr>
          <w:rFonts w:cs="Calibri"/>
          <w:sz w:val="24"/>
          <w:szCs w:val="24"/>
          <w:lang w:val="en-US"/>
        </w:rPr>
        <w:t>Nafeesah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A, Adam I, </w:t>
      </w:r>
      <w:proofErr w:type="spellStart"/>
      <w:r w:rsidRPr="00C26FD9">
        <w:rPr>
          <w:rFonts w:cs="Calibri"/>
          <w:sz w:val="24"/>
          <w:szCs w:val="24"/>
          <w:lang w:val="en-US"/>
        </w:rPr>
        <w:t>Babikir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I. The antibiotic susceptibility patterns of </w:t>
      </w:r>
      <w:proofErr w:type="spellStart"/>
      <w:r w:rsidRPr="00C26FD9">
        <w:rPr>
          <w:rFonts w:cs="Calibri"/>
          <w:sz w:val="24"/>
          <w:szCs w:val="24"/>
          <w:lang w:val="en-US"/>
        </w:rPr>
        <w:t>uropathogens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isolated in </w:t>
      </w:r>
      <w:proofErr w:type="spellStart"/>
      <w:r w:rsidRPr="00C26FD9">
        <w:rPr>
          <w:rFonts w:cs="Calibri"/>
          <w:sz w:val="24"/>
          <w:szCs w:val="24"/>
          <w:lang w:val="en-US"/>
        </w:rPr>
        <w:t>Qassim</w:t>
      </w:r>
      <w:proofErr w:type="spellEnd"/>
      <w:r w:rsidRPr="00C26FD9">
        <w:rPr>
          <w:rFonts w:cs="Calibri"/>
          <w:sz w:val="24"/>
          <w:szCs w:val="24"/>
          <w:lang w:val="en-US"/>
        </w:rPr>
        <w:t>, Saudi Arabia. </w:t>
      </w:r>
      <w:r w:rsidRPr="00C26FD9">
        <w:rPr>
          <w:rFonts w:cs="Calibri"/>
          <w:i/>
          <w:iCs/>
          <w:sz w:val="24"/>
          <w:szCs w:val="24"/>
        </w:rPr>
        <w:t xml:space="preserve">J </w:t>
      </w:r>
      <w:proofErr w:type="spellStart"/>
      <w:r w:rsidRPr="00C26FD9">
        <w:rPr>
          <w:rFonts w:cs="Calibri"/>
          <w:i/>
          <w:iCs/>
          <w:sz w:val="24"/>
          <w:szCs w:val="24"/>
        </w:rPr>
        <w:t>Infect</w:t>
      </w:r>
      <w:proofErr w:type="spellEnd"/>
      <w:r w:rsidRPr="00C26FD9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C26FD9">
        <w:rPr>
          <w:rFonts w:cs="Calibri"/>
          <w:i/>
          <w:iCs/>
          <w:sz w:val="24"/>
          <w:szCs w:val="24"/>
        </w:rPr>
        <w:t>Dev</w:t>
      </w:r>
      <w:proofErr w:type="spellEnd"/>
      <w:r w:rsidRPr="00C26FD9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C26FD9">
        <w:rPr>
          <w:rFonts w:cs="Calibri"/>
          <w:i/>
          <w:iCs/>
          <w:sz w:val="24"/>
          <w:szCs w:val="24"/>
        </w:rPr>
        <w:t>Ctries</w:t>
      </w:r>
      <w:proofErr w:type="spellEnd"/>
      <w:r w:rsidRPr="00C26FD9">
        <w:rPr>
          <w:rFonts w:cs="Calibri"/>
          <w:sz w:val="24"/>
          <w:szCs w:val="24"/>
        </w:rPr>
        <w:t xml:space="preserve">. 2018;12(11):946-952. </w:t>
      </w:r>
    </w:p>
    <w:p w14:paraId="3175B77D" w14:textId="5CD05CF2" w:rsidR="00C53841" w:rsidRPr="007D3DB3" w:rsidRDefault="00C53841" w:rsidP="009A18E5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9A18E5" w:rsidRPr="00C26FD9">
        <w:rPr>
          <w:rFonts w:cs="Calibri"/>
          <w:sz w:val="24"/>
          <w:szCs w:val="24"/>
          <w:lang w:val="en-US"/>
        </w:rPr>
        <w:t>Jalil</w:t>
      </w:r>
      <w:proofErr w:type="spellEnd"/>
      <w:r w:rsidR="009A18E5" w:rsidRPr="00C26FD9">
        <w:rPr>
          <w:rFonts w:cs="Calibri"/>
          <w:sz w:val="24"/>
          <w:szCs w:val="24"/>
          <w:lang w:val="en-US"/>
        </w:rPr>
        <w:t xml:space="preserve"> MB, Al </w:t>
      </w:r>
      <w:proofErr w:type="spellStart"/>
      <w:r w:rsidR="009A18E5" w:rsidRPr="00C26FD9">
        <w:rPr>
          <w:rFonts w:cs="Calibri"/>
          <w:sz w:val="24"/>
          <w:szCs w:val="24"/>
          <w:lang w:val="en-US"/>
        </w:rPr>
        <w:t>Atbee</w:t>
      </w:r>
      <w:proofErr w:type="spellEnd"/>
      <w:r w:rsidR="009A18E5" w:rsidRPr="00C26FD9">
        <w:rPr>
          <w:rFonts w:cs="Calibri"/>
          <w:sz w:val="24"/>
          <w:szCs w:val="24"/>
          <w:lang w:val="en-US"/>
        </w:rPr>
        <w:t xml:space="preserve"> MYN. The prevalence of multiple drug resistance Escherichia coli and </w:t>
      </w:r>
      <w:proofErr w:type="spellStart"/>
      <w:r w:rsidR="009A18E5" w:rsidRPr="00C26FD9">
        <w:rPr>
          <w:rFonts w:cs="Calibri"/>
          <w:sz w:val="24"/>
          <w:szCs w:val="24"/>
          <w:lang w:val="en-US"/>
        </w:rPr>
        <w:t>Klebsiella</w:t>
      </w:r>
      <w:proofErr w:type="spellEnd"/>
      <w:r w:rsidR="009A18E5" w:rsidRPr="00C26FD9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9A18E5" w:rsidRPr="00C26FD9">
        <w:rPr>
          <w:rFonts w:cs="Calibri"/>
          <w:sz w:val="24"/>
          <w:szCs w:val="24"/>
          <w:lang w:val="en-US"/>
        </w:rPr>
        <w:t>pneumoniae</w:t>
      </w:r>
      <w:proofErr w:type="spellEnd"/>
      <w:r w:rsidR="009A18E5" w:rsidRPr="00C26FD9">
        <w:rPr>
          <w:rFonts w:cs="Calibri"/>
          <w:sz w:val="24"/>
          <w:szCs w:val="24"/>
          <w:lang w:val="en-US"/>
        </w:rPr>
        <w:t xml:space="preserve"> isolated from patients with urinary tract infections</w:t>
      </w:r>
      <w:r w:rsidR="007D3DB3">
        <w:rPr>
          <w:rFonts w:cs="Calibri"/>
          <w:sz w:val="24"/>
          <w:szCs w:val="24"/>
          <w:lang w:val="en-US"/>
        </w:rPr>
        <w:t xml:space="preserve">. J </w:t>
      </w:r>
      <w:proofErr w:type="spellStart"/>
      <w:r w:rsidR="007D3DB3">
        <w:rPr>
          <w:rFonts w:cs="Calibri"/>
          <w:sz w:val="24"/>
          <w:szCs w:val="24"/>
          <w:lang w:val="en-US"/>
        </w:rPr>
        <w:t>Clin</w:t>
      </w:r>
      <w:proofErr w:type="spellEnd"/>
      <w:r w:rsidR="007D3DB3">
        <w:rPr>
          <w:rFonts w:cs="Calibri"/>
          <w:sz w:val="24"/>
          <w:szCs w:val="24"/>
          <w:lang w:val="en-US"/>
        </w:rPr>
        <w:t xml:space="preserve"> Lab Anal. 2022</w:t>
      </w:r>
      <w:proofErr w:type="gramStart"/>
      <w:r w:rsidR="007D3DB3">
        <w:rPr>
          <w:rFonts w:cs="Calibri"/>
          <w:sz w:val="24"/>
          <w:szCs w:val="24"/>
          <w:lang w:val="en-US"/>
        </w:rPr>
        <w:t>;</w:t>
      </w:r>
      <w:r w:rsidR="009A18E5" w:rsidRPr="00C26FD9">
        <w:rPr>
          <w:rFonts w:cs="Calibri"/>
          <w:sz w:val="24"/>
          <w:szCs w:val="24"/>
          <w:lang w:val="en-US"/>
        </w:rPr>
        <w:t>24619</w:t>
      </w:r>
      <w:proofErr w:type="gramEnd"/>
      <w:r w:rsidR="009A18E5" w:rsidRPr="00C26FD9">
        <w:rPr>
          <w:rFonts w:cs="Calibri"/>
          <w:sz w:val="24"/>
          <w:szCs w:val="24"/>
          <w:lang w:val="en-US"/>
        </w:rPr>
        <w:t xml:space="preserve">. </w:t>
      </w:r>
    </w:p>
    <w:p w14:paraId="0C0CF4FB" w14:textId="6C826454" w:rsidR="00C53841" w:rsidRPr="00C26FD9" w:rsidRDefault="007D3DB3" w:rsidP="00C53841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7D3DB3">
        <w:rPr>
          <w:rFonts w:cs="Calibri"/>
          <w:sz w:val="24"/>
          <w:szCs w:val="24"/>
          <w:lang w:val="en-US"/>
        </w:rPr>
        <w:t xml:space="preserve">Li Z, Chen Q, </w:t>
      </w:r>
      <w:r>
        <w:rPr>
          <w:rFonts w:cs="Calibri"/>
          <w:sz w:val="24"/>
          <w:szCs w:val="24"/>
          <w:lang w:val="en-US"/>
        </w:rPr>
        <w:t xml:space="preserve">Feng L, </w:t>
      </w:r>
      <w:proofErr w:type="spellStart"/>
      <w:r>
        <w:rPr>
          <w:rFonts w:cs="Calibri"/>
          <w:sz w:val="24"/>
          <w:szCs w:val="24"/>
          <w:lang w:val="en-US"/>
        </w:rPr>
        <w:t>Rodewald</w:t>
      </w:r>
      <w:proofErr w:type="spellEnd"/>
      <w:r>
        <w:rPr>
          <w:rFonts w:cs="Calibri"/>
          <w:sz w:val="24"/>
          <w:szCs w:val="24"/>
          <w:lang w:val="en-US"/>
        </w:rPr>
        <w:t xml:space="preserve"> L, Xia Y, Yu H</w:t>
      </w:r>
      <w:r w:rsidR="00D3313A" w:rsidRPr="00C26FD9">
        <w:rPr>
          <w:rFonts w:cs="Calibri"/>
          <w:sz w:val="24"/>
          <w:szCs w:val="24"/>
          <w:lang w:val="it-IT"/>
        </w:rPr>
        <w:t xml:space="preserve">, et al. </w:t>
      </w:r>
      <w:r w:rsidR="00D3313A" w:rsidRPr="00C26FD9">
        <w:rPr>
          <w:rFonts w:cs="Calibri"/>
          <w:sz w:val="24"/>
          <w:szCs w:val="24"/>
          <w:lang w:val="en-US"/>
        </w:rPr>
        <w:t>Active case finding with case management: the key to tackling the COVID-19 pandemic. </w:t>
      </w:r>
      <w:r w:rsidR="00D3313A" w:rsidRPr="00C26FD9">
        <w:rPr>
          <w:rFonts w:cs="Calibri"/>
          <w:i/>
          <w:iCs/>
          <w:sz w:val="24"/>
          <w:szCs w:val="24"/>
          <w:lang w:val="en-US"/>
        </w:rPr>
        <w:t>Lancet</w:t>
      </w:r>
      <w:r w:rsidR="00D3313A" w:rsidRPr="00C26FD9">
        <w:rPr>
          <w:rFonts w:cs="Calibri"/>
          <w:sz w:val="24"/>
          <w:szCs w:val="24"/>
          <w:lang w:val="en-US"/>
        </w:rPr>
        <w:t>. 2020</w:t>
      </w:r>
      <w:proofErr w:type="gramStart"/>
      <w:r w:rsidR="00D3313A" w:rsidRPr="00C26FD9">
        <w:rPr>
          <w:rFonts w:cs="Calibri"/>
          <w:sz w:val="24"/>
          <w:szCs w:val="24"/>
          <w:lang w:val="en-US"/>
        </w:rPr>
        <w:t>;396</w:t>
      </w:r>
      <w:proofErr w:type="gramEnd"/>
      <w:r w:rsidR="00D3313A" w:rsidRPr="00C26FD9">
        <w:rPr>
          <w:rFonts w:cs="Calibri"/>
          <w:sz w:val="24"/>
          <w:szCs w:val="24"/>
          <w:lang w:val="en-US"/>
        </w:rPr>
        <w:t xml:space="preserve">(10243):63-70. </w:t>
      </w:r>
    </w:p>
    <w:p w14:paraId="681EE7FF" w14:textId="6FEBDEA1" w:rsidR="007A5A53" w:rsidRPr="00C26FD9" w:rsidRDefault="00A90B82" w:rsidP="007A5A53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it-IT"/>
        </w:rPr>
        <w:t xml:space="preserve"> </w:t>
      </w:r>
      <w:r w:rsidR="007D3DB3" w:rsidRPr="007D3DB3">
        <w:rPr>
          <w:rFonts w:cs="Calibri"/>
          <w:sz w:val="24"/>
          <w:szCs w:val="24"/>
          <w:lang w:val="en-US"/>
        </w:rPr>
        <w:t xml:space="preserve">Lucien MAB, </w:t>
      </w:r>
      <w:proofErr w:type="spellStart"/>
      <w:r w:rsidR="007D3DB3" w:rsidRPr="007D3DB3">
        <w:rPr>
          <w:rFonts w:cs="Calibri"/>
          <w:sz w:val="24"/>
          <w:szCs w:val="24"/>
          <w:lang w:val="en-US"/>
        </w:rPr>
        <w:t>Canarie</w:t>
      </w:r>
      <w:proofErr w:type="spellEnd"/>
      <w:r w:rsidR="007D3DB3" w:rsidRPr="007D3DB3">
        <w:rPr>
          <w:rFonts w:cs="Calibri"/>
          <w:sz w:val="24"/>
          <w:szCs w:val="24"/>
          <w:lang w:val="en-US"/>
        </w:rPr>
        <w:t xml:space="preserve"> MF, Kilgore PE, Jean-Denis G, </w:t>
      </w:r>
      <w:proofErr w:type="spellStart"/>
      <w:r w:rsidR="007D3DB3" w:rsidRPr="007D3DB3">
        <w:rPr>
          <w:rFonts w:cs="Calibri"/>
          <w:sz w:val="24"/>
          <w:szCs w:val="24"/>
          <w:lang w:val="en-US"/>
        </w:rPr>
        <w:t>Fénélon</w:t>
      </w:r>
      <w:proofErr w:type="spellEnd"/>
      <w:r w:rsidR="007D3DB3" w:rsidRPr="007D3DB3">
        <w:rPr>
          <w:rFonts w:cs="Calibri"/>
          <w:sz w:val="24"/>
          <w:szCs w:val="24"/>
          <w:lang w:val="en-US"/>
        </w:rPr>
        <w:t xml:space="preserve"> N, Pierre M,</w:t>
      </w:r>
      <w:r w:rsidR="007D3DB3" w:rsidRPr="007D3DB3">
        <w:rPr>
          <w:rFonts w:cs="Calibri"/>
          <w:sz w:val="24"/>
          <w:szCs w:val="24"/>
          <w:lang w:val="it-IT"/>
        </w:rPr>
        <w:t xml:space="preserve"> </w:t>
      </w:r>
      <w:r w:rsidR="007A5A53" w:rsidRPr="00C26FD9">
        <w:rPr>
          <w:rFonts w:cs="Calibri"/>
          <w:sz w:val="24"/>
          <w:szCs w:val="24"/>
          <w:lang w:val="it-IT"/>
        </w:rPr>
        <w:t xml:space="preserve">et al. </w:t>
      </w:r>
      <w:r w:rsidR="007A5A53" w:rsidRPr="00C26FD9">
        <w:rPr>
          <w:rFonts w:cs="Calibri"/>
          <w:sz w:val="24"/>
          <w:szCs w:val="24"/>
          <w:lang w:val="en-US"/>
        </w:rPr>
        <w:t>Antibiotics and antimicrobial resistance in the COVID-19 era: Perspective from resource-limited settings. </w:t>
      </w:r>
      <w:proofErr w:type="spellStart"/>
      <w:r w:rsidR="007A5A53" w:rsidRPr="00C26FD9">
        <w:rPr>
          <w:rFonts w:cs="Calibri"/>
          <w:i/>
          <w:iCs/>
          <w:sz w:val="24"/>
          <w:szCs w:val="24"/>
          <w:lang w:val="en-US"/>
        </w:rPr>
        <w:t>Int</w:t>
      </w:r>
      <w:proofErr w:type="spellEnd"/>
      <w:r w:rsidR="007A5A53" w:rsidRPr="00C26FD9">
        <w:rPr>
          <w:rFonts w:cs="Calibri"/>
          <w:i/>
          <w:iCs/>
          <w:sz w:val="24"/>
          <w:szCs w:val="24"/>
          <w:lang w:val="en-US"/>
        </w:rPr>
        <w:t xml:space="preserve"> J Infect Dis</w:t>
      </w:r>
      <w:r w:rsidR="007A5A53" w:rsidRPr="00C26FD9">
        <w:rPr>
          <w:rFonts w:cs="Calibri"/>
          <w:sz w:val="24"/>
          <w:szCs w:val="24"/>
          <w:lang w:val="en-US"/>
        </w:rPr>
        <w:t>. 2021</w:t>
      </w:r>
      <w:proofErr w:type="gramStart"/>
      <w:r w:rsidR="007A5A53" w:rsidRPr="00C26FD9">
        <w:rPr>
          <w:rFonts w:cs="Calibri"/>
          <w:sz w:val="24"/>
          <w:szCs w:val="24"/>
          <w:lang w:val="en-US"/>
        </w:rPr>
        <w:t>;104:250</w:t>
      </w:r>
      <w:proofErr w:type="gramEnd"/>
      <w:r w:rsidR="007A5A53" w:rsidRPr="00C26FD9">
        <w:rPr>
          <w:rFonts w:cs="Calibri"/>
          <w:sz w:val="24"/>
          <w:szCs w:val="24"/>
          <w:lang w:val="en-US"/>
        </w:rPr>
        <w:t xml:space="preserve">-254. </w:t>
      </w:r>
    </w:p>
    <w:p w14:paraId="04B6FEED" w14:textId="229C8F2E" w:rsidR="00B22B79" w:rsidRPr="00C26FD9" w:rsidRDefault="00B22B79" w:rsidP="00B22B79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t xml:space="preserve"> </w:t>
      </w:r>
      <w:r w:rsidR="006335A3" w:rsidRPr="006335A3">
        <w:rPr>
          <w:rFonts w:cs="Calibri"/>
          <w:sz w:val="24"/>
          <w:szCs w:val="24"/>
          <w:lang w:val="en-US"/>
        </w:rPr>
        <w:t xml:space="preserve">Zhou F, Yu T, Du R, Fan G, Liu Y, Liu Z, </w:t>
      </w:r>
      <w:r w:rsidRPr="00C26FD9">
        <w:rPr>
          <w:rFonts w:cs="Calibri"/>
          <w:sz w:val="24"/>
          <w:szCs w:val="24"/>
          <w:lang w:val="en-US"/>
        </w:rPr>
        <w:t>et al. Clinical course and risk factors for mortality of adult inpatients with COVID-19 in Wuhan, China: a retrospective cohort study. </w:t>
      </w:r>
      <w:r w:rsidRPr="00C26FD9">
        <w:rPr>
          <w:rFonts w:cs="Calibri"/>
          <w:i/>
          <w:iCs/>
          <w:sz w:val="24"/>
          <w:szCs w:val="24"/>
          <w:lang w:val="en-US"/>
        </w:rPr>
        <w:t>Lancet</w:t>
      </w:r>
      <w:r w:rsidRPr="00C26FD9">
        <w:rPr>
          <w:rFonts w:cs="Calibri"/>
          <w:sz w:val="24"/>
          <w:szCs w:val="24"/>
          <w:lang w:val="en-US"/>
        </w:rPr>
        <w:t>. 2020</w:t>
      </w:r>
      <w:proofErr w:type="gramStart"/>
      <w:r w:rsidRPr="00C26FD9">
        <w:rPr>
          <w:rFonts w:cs="Calibri"/>
          <w:sz w:val="24"/>
          <w:szCs w:val="24"/>
          <w:lang w:val="en-US"/>
        </w:rPr>
        <w:t>;395</w:t>
      </w:r>
      <w:proofErr w:type="gramEnd"/>
      <w:r w:rsidRPr="00C26FD9">
        <w:rPr>
          <w:rFonts w:cs="Calibri"/>
          <w:sz w:val="24"/>
          <w:szCs w:val="24"/>
          <w:lang w:val="en-US"/>
        </w:rPr>
        <w:t xml:space="preserve">(10229):1054-1062. </w:t>
      </w:r>
    </w:p>
    <w:p w14:paraId="7B5E830A" w14:textId="6B2D8BC9" w:rsidR="00197DB1" w:rsidRPr="00C26FD9" w:rsidRDefault="00197DB1" w:rsidP="00DA255F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lastRenderedPageBreak/>
        <w:t xml:space="preserve"> </w:t>
      </w:r>
      <w:r w:rsidR="00DA255F" w:rsidRPr="00C26FD9">
        <w:rPr>
          <w:rFonts w:cs="Calibri"/>
          <w:sz w:val="24"/>
          <w:szCs w:val="24"/>
          <w:lang w:val="en-US"/>
        </w:rPr>
        <w:t xml:space="preserve">Adler H, Ball R, Fisher M, Mortimer K, </w:t>
      </w:r>
      <w:proofErr w:type="spellStart"/>
      <w:r w:rsidR="00DA255F" w:rsidRPr="00C26FD9">
        <w:rPr>
          <w:rFonts w:cs="Calibri"/>
          <w:sz w:val="24"/>
          <w:szCs w:val="24"/>
          <w:lang w:val="en-US"/>
        </w:rPr>
        <w:t>Vardhan</w:t>
      </w:r>
      <w:proofErr w:type="spellEnd"/>
      <w:r w:rsidR="00DA255F" w:rsidRPr="00C26FD9">
        <w:rPr>
          <w:rFonts w:cs="Calibri"/>
          <w:sz w:val="24"/>
          <w:szCs w:val="24"/>
          <w:lang w:val="en-US"/>
        </w:rPr>
        <w:t xml:space="preserve"> MS. Low rate of bacterial co-infection in patients with COVID-19. </w:t>
      </w:r>
      <w:r w:rsidR="00DA255F" w:rsidRPr="00C26FD9">
        <w:rPr>
          <w:rFonts w:cs="Calibri"/>
          <w:i/>
          <w:iCs/>
          <w:sz w:val="24"/>
          <w:szCs w:val="24"/>
          <w:lang w:val="en-US"/>
        </w:rPr>
        <w:t>Lancet Microbe</w:t>
      </w:r>
      <w:r w:rsidR="00DA255F" w:rsidRPr="00C26FD9">
        <w:rPr>
          <w:rFonts w:cs="Calibri"/>
          <w:sz w:val="24"/>
          <w:szCs w:val="24"/>
          <w:lang w:val="en-US"/>
        </w:rPr>
        <w:t>. 2020</w:t>
      </w:r>
      <w:proofErr w:type="gramStart"/>
      <w:r w:rsidR="00DA255F" w:rsidRPr="00C26FD9">
        <w:rPr>
          <w:rFonts w:cs="Calibri"/>
          <w:sz w:val="24"/>
          <w:szCs w:val="24"/>
          <w:lang w:val="en-US"/>
        </w:rPr>
        <w:t>;1</w:t>
      </w:r>
      <w:proofErr w:type="gramEnd"/>
      <w:r w:rsidR="00DA255F" w:rsidRPr="00C26FD9">
        <w:rPr>
          <w:rFonts w:cs="Calibri"/>
          <w:sz w:val="24"/>
          <w:szCs w:val="24"/>
          <w:lang w:val="en-US"/>
        </w:rPr>
        <w:t xml:space="preserve">(2):e62. </w:t>
      </w:r>
    </w:p>
    <w:p w14:paraId="73D618A1" w14:textId="321A9FE1" w:rsidR="00A90B82" w:rsidRPr="00C26FD9" w:rsidRDefault="006335A3" w:rsidP="00A90B82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proofErr w:type="spellStart"/>
      <w:r w:rsidRPr="006335A3">
        <w:rPr>
          <w:rFonts w:cs="Calibri"/>
          <w:sz w:val="24"/>
          <w:szCs w:val="24"/>
          <w:lang w:val="en-US"/>
        </w:rPr>
        <w:t>Goncalves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Mendes </w:t>
      </w:r>
      <w:proofErr w:type="spellStart"/>
      <w:r w:rsidRPr="006335A3">
        <w:rPr>
          <w:rFonts w:cs="Calibri"/>
          <w:sz w:val="24"/>
          <w:szCs w:val="24"/>
          <w:lang w:val="en-US"/>
        </w:rPr>
        <w:t>Neto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A, Lo KB, </w:t>
      </w:r>
      <w:proofErr w:type="spellStart"/>
      <w:r w:rsidRPr="006335A3">
        <w:rPr>
          <w:rFonts w:cs="Calibri"/>
          <w:sz w:val="24"/>
          <w:szCs w:val="24"/>
          <w:lang w:val="en-US"/>
        </w:rPr>
        <w:t>Wattoo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A, </w:t>
      </w:r>
      <w:proofErr w:type="spellStart"/>
      <w:r w:rsidRPr="006335A3">
        <w:rPr>
          <w:rFonts w:cs="Calibri"/>
          <w:sz w:val="24"/>
          <w:szCs w:val="24"/>
          <w:lang w:val="en-US"/>
        </w:rPr>
        <w:t>S</w:t>
      </w:r>
      <w:r>
        <w:rPr>
          <w:rFonts w:cs="Calibri"/>
          <w:sz w:val="24"/>
          <w:szCs w:val="24"/>
          <w:lang w:val="en-US"/>
        </w:rPr>
        <w:t>alacup</w:t>
      </w:r>
      <w:proofErr w:type="spellEnd"/>
      <w:r>
        <w:rPr>
          <w:rFonts w:cs="Calibri"/>
          <w:sz w:val="24"/>
          <w:szCs w:val="24"/>
          <w:lang w:val="en-US"/>
        </w:rPr>
        <w:t xml:space="preserve"> G, </w:t>
      </w:r>
      <w:proofErr w:type="spellStart"/>
      <w:r>
        <w:rPr>
          <w:rFonts w:cs="Calibri"/>
          <w:sz w:val="24"/>
          <w:szCs w:val="24"/>
          <w:lang w:val="en-US"/>
        </w:rPr>
        <w:t>Pelayo</w:t>
      </w:r>
      <w:proofErr w:type="spellEnd"/>
      <w:r>
        <w:rPr>
          <w:rFonts w:cs="Calibri"/>
          <w:sz w:val="24"/>
          <w:szCs w:val="24"/>
          <w:lang w:val="en-US"/>
        </w:rPr>
        <w:t xml:space="preserve"> J, </w:t>
      </w:r>
      <w:proofErr w:type="spellStart"/>
      <w:r>
        <w:rPr>
          <w:rFonts w:cs="Calibri"/>
          <w:sz w:val="24"/>
          <w:szCs w:val="24"/>
          <w:lang w:val="en-US"/>
        </w:rPr>
        <w:t>DeJoy</w:t>
      </w:r>
      <w:proofErr w:type="spellEnd"/>
      <w:r>
        <w:rPr>
          <w:rFonts w:cs="Calibri"/>
          <w:sz w:val="24"/>
          <w:szCs w:val="24"/>
          <w:lang w:val="en-US"/>
        </w:rPr>
        <w:t xml:space="preserve"> R 3rd</w:t>
      </w:r>
      <w:r w:rsidR="00A262FC" w:rsidRPr="00C26FD9">
        <w:rPr>
          <w:rFonts w:cs="Calibri"/>
          <w:sz w:val="24"/>
          <w:szCs w:val="24"/>
          <w:lang w:val="en-US"/>
        </w:rPr>
        <w:t>, et al. Bacterial infections and patterns of antibiotic use in patients with COVID-19. </w:t>
      </w:r>
      <w:r w:rsidR="00A262FC" w:rsidRPr="00C26FD9">
        <w:rPr>
          <w:rFonts w:cs="Calibri"/>
          <w:i/>
          <w:iCs/>
          <w:sz w:val="24"/>
          <w:szCs w:val="24"/>
          <w:lang w:val="en-US"/>
        </w:rPr>
        <w:t xml:space="preserve">J Med </w:t>
      </w:r>
      <w:proofErr w:type="spellStart"/>
      <w:r w:rsidR="00A262FC" w:rsidRPr="00C26FD9">
        <w:rPr>
          <w:rFonts w:cs="Calibri"/>
          <w:i/>
          <w:iCs/>
          <w:sz w:val="24"/>
          <w:szCs w:val="24"/>
          <w:lang w:val="en-US"/>
        </w:rPr>
        <w:t>Virol</w:t>
      </w:r>
      <w:proofErr w:type="spellEnd"/>
      <w:r w:rsidR="00A262FC" w:rsidRPr="00C26FD9">
        <w:rPr>
          <w:rFonts w:cs="Calibri"/>
          <w:sz w:val="24"/>
          <w:szCs w:val="24"/>
          <w:lang w:val="en-US"/>
        </w:rPr>
        <w:t>. 2021</w:t>
      </w:r>
      <w:proofErr w:type="gramStart"/>
      <w:r w:rsidR="00A262FC" w:rsidRPr="00C26FD9">
        <w:rPr>
          <w:rFonts w:cs="Calibri"/>
          <w:sz w:val="24"/>
          <w:szCs w:val="24"/>
          <w:lang w:val="en-US"/>
        </w:rPr>
        <w:t>;93</w:t>
      </w:r>
      <w:proofErr w:type="gramEnd"/>
      <w:r w:rsidR="00A262FC" w:rsidRPr="00C26FD9">
        <w:rPr>
          <w:rFonts w:cs="Calibri"/>
          <w:sz w:val="24"/>
          <w:szCs w:val="24"/>
          <w:lang w:val="en-US"/>
        </w:rPr>
        <w:t xml:space="preserve">(3):1489-1495. </w:t>
      </w:r>
    </w:p>
    <w:p w14:paraId="777BDE62" w14:textId="1A2356CD" w:rsidR="00640DBE" w:rsidRPr="006335A3" w:rsidRDefault="00AA4DDA" w:rsidP="00AA4DDA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26FD9">
        <w:rPr>
          <w:rFonts w:cs="Calibri"/>
          <w:sz w:val="24"/>
          <w:szCs w:val="24"/>
          <w:lang w:val="en-US"/>
        </w:rPr>
        <w:t>Milas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S, </w:t>
      </w:r>
      <w:proofErr w:type="spellStart"/>
      <w:r w:rsidRPr="00C26FD9">
        <w:rPr>
          <w:rFonts w:cs="Calibri"/>
          <w:sz w:val="24"/>
          <w:szCs w:val="24"/>
          <w:lang w:val="en-US"/>
        </w:rPr>
        <w:t>Poncelet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A, </w:t>
      </w:r>
      <w:proofErr w:type="spellStart"/>
      <w:r w:rsidRPr="00C26FD9">
        <w:rPr>
          <w:rFonts w:cs="Calibri"/>
          <w:sz w:val="24"/>
          <w:szCs w:val="24"/>
          <w:lang w:val="en-US"/>
        </w:rPr>
        <w:t>Buttafuoco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F, Pardo A, </w:t>
      </w:r>
      <w:proofErr w:type="spellStart"/>
      <w:r w:rsidRPr="00C26FD9">
        <w:rPr>
          <w:rFonts w:cs="Calibri"/>
          <w:sz w:val="24"/>
          <w:szCs w:val="24"/>
          <w:lang w:val="en-US"/>
        </w:rPr>
        <w:t>Lali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SE, </w:t>
      </w:r>
      <w:proofErr w:type="spellStart"/>
      <w:r w:rsidRPr="00C26FD9">
        <w:rPr>
          <w:rFonts w:cs="Calibri"/>
          <w:sz w:val="24"/>
          <w:szCs w:val="24"/>
          <w:lang w:val="en-US"/>
        </w:rPr>
        <w:t>Cherifi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S. Antibiotic use in patients with Coronavirus disease 2019 (COVID-19): outcomes and associated factors. </w:t>
      </w:r>
      <w:proofErr w:type="spellStart"/>
      <w:r w:rsidRPr="006335A3">
        <w:rPr>
          <w:rFonts w:cs="Calibri"/>
          <w:i/>
          <w:iCs/>
          <w:sz w:val="24"/>
          <w:szCs w:val="24"/>
          <w:lang w:val="en-US"/>
        </w:rPr>
        <w:t>Acta</w:t>
      </w:r>
      <w:proofErr w:type="spellEnd"/>
      <w:r w:rsidRPr="006335A3">
        <w:rPr>
          <w:rFonts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6335A3">
        <w:rPr>
          <w:rFonts w:cs="Calibri"/>
          <w:i/>
          <w:iCs/>
          <w:sz w:val="24"/>
          <w:szCs w:val="24"/>
          <w:lang w:val="en-US"/>
        </w:rPr>
        <w:t>Clin</w:t>
      </w:r>
      <w:proofErr w:type="spellEnd"/>
      <w:r w:rsidRPr="006335A3">
        <w:rPr>
          <w:rFonts w:cs="Calibri"/>
          <w:i/>
          <w:iCs/>
          <w:sz w:val="24"/>
          <w:szCs w:val="24"/>
          <w:lang w:val="en-US"/>
        </w:rPr>
        <w:t xml:space="preserve"> Belg</w:t>
      </w:r>
      <w:r w:rsidRPr="006335A3">
        <w:rPr>
          <w:rFonts w:cs="Calibri"/>
          <w:sz w:val="24"/>
          <w:szCs w:val="24"/>
          <w:lang w:val="en-US"/>
        </w:rPr>
        <w:t>. 2022</w:t>
      </w:r>
      <w:proofErr w:type="gramStart"/>
      <w:r w:rsidRPr="006335A3">
        <w:rPr>
          <w:rFonts w:cs="Calibri"/>
          <w:sz w:val="24"/>
          <w:szCs w:val="24"/>
          <w:lang w:val="en-US"/>
        </w:rPr>
        <w:t>;77</w:t>
      </w:r>
      <w:proofErr w:type="gramEnd"/>
      <w:r w:rsidRPr="006335A3">
        <w:rPr>
          <w:rFonts w:cs="Calibri"/>
          <w:sz w:val="24"/>
          <w:szCs w:val="24"/>
          <w:lang w:val="en-US"/>
        </w:rPr>
        <w:t xml:space="preserve">(3):579-587. </w:t>
      </w:r>
    </w:p>
    <w:p w14:paraId="660F4637" w14:textId="2940D7F5" w:rsidR="005E0C94" w:rsidRPr="00C26FD9" w:rsidRDefault="006335A3" w:rsidP="005E0C94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proofErr w:type="spellStart"/>
      <w:r w:rsidRPr="006335A3">
        <w:rPr>
          <w:rFonts w:cs="Calibri"/>
          <w:sz w:val="24"/>
          <w:szCs w:val="24"/>
          <w:lang w:val="en-US"/>
        </w:rPr>
        <w:t>Contou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D, </w:t>
      </w:r>
      <w:proofErr w:type="spellStart"/>
      <w:r w:rsidRPr="006335A3">
        <w:rPr>
          <w:rFonts w:cs="Calibri"/>
          <w:sz w:val="24"/>
          <w:szCs w:val="24"/>
          <w:lang w:val="en-US"/>
        </w:rPr>
        <w:t>Claudinon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A, </w:t>
      </w:r>
      <w:proofErr w:type="spellStart"/>
      <w:r w:rsidRPr="006335A3">
        <w:rPr>
          <w:rFonts w:cs="Calibri"/>
          <w:sz w:val="24"/>
          <w:szCs w:val="24"/>
          <w:lang w:val="en-US"/>
        </w:rPr>
        <w:t>Pajot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O, </w:t>
      </w:r>
      <w:proofErr w:type="spellStart"/>
      <w:r w:rsidRPr="006335A3">
        <w:rPr>
          <w:rFonts w:cs="Calibri"/>
          <w:sz w:val="24"/>
          <w:szCs w:val="24"/>
          <w:lang w:val="en-US"/>
        </w:rPr>
        <w:t>Micaëlo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M, </w:t>
      </w:r>
      <w:proofErr w:type="spellStart"/>
      <w:r w:rsidRPr="006335A3">
        <w:rPr>
          <w:rFonts w:cs="Calibri"/>
          <w:sz w:val="24"/>
          <w:szCs w:val="24"/>
          <w:lang w:val="en-US"/>
        </w:rPr>
        <w:t>Longuet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6335A3">
        <w:rPr>
          <w:rFonts w:cs="Calibri"/>
          <w:sz w:val="24"/>
          <w:szCs w:val="24"/>
          <w:lang w:val="en-US"/>
        </w:rPr>
        <w:t>Flandre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P, </w:t>
      </w:r>
      <w:proofErr w:type="spellStart"/>
      <w:r w:rsidRPr="006335A3">
        <w:rPr>
          <w:rFonts w:cs="Calibri"/>
          <w:sz w:val="24"/>
          <w:szCs w:val="24"/>
          <w:lang w:val="en-US"/>
        </w:rPr>
        <w:t>Dubert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M, </w:t>
      </w:r>
      <w:proofErr w:type="spellStart"/>
      <w:r w:rsidRPr="006335A3">
        <w:rPr>
          <w:rFonts w:cs="Calibri"/>
          <w:sz w:val="24"/>
          <w:szCs w:val="24"/>
          <w:lang w:val="en-US"/>
        </w:rPr>
        <w:t>Cally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R</w:t>
      </w:r>
      <w:r w:rsidR="005E0C94" w:rsidRPr="00C26FD9">
        <w:rPr>
          <w:rFonts w:cs="Calibri"/>
          <w:sz w:val="24"/>
          <w:szCs w:val="24"/>
          <w:lang w:val="it-IT"/>
        </w:rPr>
        <w:t xml:space="preserve">, et al. </w:t>
      </w:r>
      <w:r w:rsidR="005E0C94" w:rsidRPr="00C26FD9">
        <w:rPr>
          <w:rFonts w:cs="Calibri"/>
          <w:sz w:val="24"/>
          <w:szCs w:val="24"/>
          <w:lang w:val="en-US"/>
        </w:rPr>
        <w:t>Bacterial and viral co-infections in patients with severe SARS-CoV-2 pneumonia admitted to a French ICU. </w:t>
      </w:r>
      <w:r w:rsidR="005E0C94" w:rsidRPr="00C26FD9">
        <w:rPr>
          <w:rFonts w:cs="Calibri"/>
          <w:i/>
          <w:iCs/>
          <w:sz w:val="24"/>
          <w:szCs w:val="24"/>
          <w:lang w:val="en-US"/>
        </w:rPr>
        <w:t>Ann Intensive Care</w:t>
      </w:r>
      <w:r w:rsidR="005E0C94" w:rsidRPr="00C26FD9">
        <w:rPr>
          <w:rFonts w:cs="Calibri"/>
          <w:sz w:val="24"/>
          <w:szCs w:val="24"/>
          <w:lang w:val="en-US"/>
        </w:rPr>
        <w:t>. 2020</w:t>
      </w:r>
      <w:proofErr w:type="gramStart"/>
      <w:r w:rsidR="005E0C94" w:rsidRPr="00C26FD9">
        <w:rPr>
          <w:rFonts w:cs="Calibri"/>
          <w:sz w:val="24"/>
          <w:szCs w:val="24"/>
          <w:lang w:val="en-US"/>
        </w:rPr>
        <w:t>;10</w:t>
      </w:r>
      <w:proofErr w:type="gramEnd"/>
      <w:r w:rsidR="005E0C94" w:rsidRPr="00C26FD9">
        <w:rPr>
          <w:rFonts w:cs="Calibri"/>
          <w:sz w:val="24"/>
          <w:szCs w:val="24"/>
          <w:lang w:val="en-US"/>
        </w:rPr>
        <w:t xml:space="preserve">(1):119. </w:t>
      </w:r>
    </w:p>
    <w:p w14:paraId="7305AC7B" w14:textId="77777777" w:rsidR="00AC0CD7" w:rsidRPr="006335A3" w:rsidRDefault="00AC0CD7" w:rsidP="00AC0CD7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t xml:space="preserve"> Lie KC, </w:t>
      </w:r>
      <w:proofErr w:type="spellStart"/>
      <w:r w:rsidRPr="00C26FD9">
        <w:rPr>
          <w:rFonts w:cs="Calibri"/>
          <w:sz w:val="24"/>
          <w:szCs w:val="24"/>
          <w:lang w:val="en-US"/>
        </w:rPr>
        <w:t>Shakinah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S, </w:t>
      </w:r>
      <w:proofErr w:type="spellStart"/>
      <w:r w:rsidRPr="00C26FD9">
        <w:rPr>
          <w:rFonts w:cs="Calibri"/>
          <w:sz w:val="24"/>
          <w:szCs w:val="24"/>
          <w:lang w:val="en-US"/>
        </w:rPr>
        <w:t>Pasaribu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A, </w:t>
      </w:r>
      <w:proofErr w:type="spellStart"/>
      <w:r w:rsidRPr="00C26FD9">
        <w:rPr>
          <w:rFonts w:cs="Calibri"/>
          <w:sz w:val="24"/>
          <w:szCs w:val="24"/>
          <w:lang w:val="en-US"/>
        </w:rPr>
        <w:t>Sinto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R, </w:t>
      </w:r>
      <w:proofErr w:type="spellStart"/>
      <w:r w:rsidRPr="00C26FD9">
        <w:rPr>
          <w:rFonts w:cs="Calibri"/>
          <w:sz w:val="24"/>
          <w:szCs w:val="24"/>
          <w:lang w:val="en-US"/>
        </w:rPr>
        <w:t>Nainggolan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L. Observational Study on Secondary Bacterial Infection and the Use of Antibiotics in COVID-19 Patients Treated in a Tertiary Referral Hospital. </w:t>
      </w:r>
      <w:proofErr w:type="spellStart"/>
      <w:r w:rsidRPr="006335A3">
        <w:rPr>
          <w:rFonts w:cs="Calibri"/>
          <w:i/>
          <w:iCs/>
          <w:sz w:val="24"/>
          <w:szCs w:val="24"/>
          <w:lang w:val="en-US"/>
        </w:rPr>
        <w:t>Acta</w:t>
      </w:r>
      <w:proofErr w:type="spellEnd"/>
      <w:r w:rsidRPr="006335A3">
        <w:rPr>
          <w:rFonts w:cs="Calibri"/>
          <w:i/>
          <w:iCs/>
          <w:sz w:val="24"/>
          <w:szCs w:val="24"/>
          <w:lang w:val="en-US"/>
        </w:rPr>
        <w:t xml:space="preserve"> Med </w:t>
      </w:r>
      <w:proofErr w:type="spellStart"/>
      <w:r w:rsidRPr="006335A3">
        <w:rPr>
          <w:rFonts w:cs="Calibri"/>
          <w:i/>
          <w:iCs/>
          <w:sz w:val="24"/>
          <w:szCs w:val="24"/>
          <w:lang w:val="en-US"/>
        </w:rPr>
        <w:t>Indones</w:t>
      </w:r>
      <w:proofErr w:type="spellEnd"/>
      <w:r w:rsidRPr="006335A3">
        <w:rPr>
          <w:rFonts w:cs="Calibri"/>
          <w:sz w:val="24"/>
          <w:szCs w:val="24"/>
          <w:lang w:val="en-US"/>
        </w:rPr>
        <w:t>. 2022</w:t>
      </w:r>
      <w:proofErr w:type="gramStart"/>
      <w:r w:rsidRPr="006335A3">
        <w:rPr>
          <w:rFonts w:cs="Calibri"/>
          <w:sz w:val="24"/>
          <w:szCs w:val="24"/>
          <w:lang w:val="en-US"/>
        </w:rPr>
        <w:t>;54</w:t>
      </w:r>
      <w:proofErr w:type="gramEnd"/>
      <w:r w:rsidRPr="006335A3">
        <w:rPr>
          <w:rFonts w:cs="Calibri"/>
          <w:sz w:val="24"/>
          <w:szCs w:val="24"/>
          <w:lang w:val="en-US"/>
        </w:rPr>
        <w:t>(2):161-169.</w:t>
      </w:r>
    </w:p>
    <w:p w14:paraId="3BB6D83B" w14:textId="521E085D" w:rsidR="00590CD4" w:rsidRPr="00C26FD9" w:rsidRDefault="006335A3" w:rsidP="00590CD4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proofErr w:type="spellStart"/>
      <w:r w:rsidRPr="006335A3">
        <w:rPr>
          <w:rFonts w:cs="Calibri"/>
          <w:sz w:val="24"/>
          <w:szCs w:val="24"/>
          <w:lang w:val="en-US"/>
        </w:rPr>
        <w:t>Khurana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S, Singh P, </w:t>
      </w:r>
      <w:proofErr w:type="spellStart"/>
      <w:r w:rsidRPr="006335A3">
        <w:rPr>
          <w:rFonts w:cs="Calibri"/>
          <w:sz w:val="24"/>
          <w:szCs w:val="24"/>
          <w:lang w:val="en-US"/>
        </w:rPr>
        <w:t>Sharad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N, </w:t>
      </w:r>
      <w:proofErr w:type="spellStart"/>
      <w:r w:rsidRPr="006335A3">
        <w:rPr>
          <w:rFonts w:cs="Calibri"/>
          <w:sz w:val="24"/>
          <w:szCs w:val="24"/>
          <w:lang w:val="en-US"/>
        </w:rPr>
        <w:t>Kiro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VV, </w:t>
      </w:r>
      <w:proofErr w:type="spellStart"/>
      <w:r w:rsidRPr="006335A3">
        <w:rPr>
          <w:rFonts w:cs="Calibri"/>
          <w:sz w:val="24"/>
          <w:szCs w:val="24"/>
          <w:lang w:val="en-US"/>
        </w:rPr>
        <w:t>Rastogi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N, </w:t>
      </w:r>
      <w:proofErr w:type="spellStart"/>
      <w:r w:rsidRPr="006335A3">
        <w:rPr>
          <w:rFonts w:cs="Calibri"/>
          <w:sz w:val="24"/>
          <w:szCs w:val="24"/>
          <w:lang w:val="en-US"/>
        </w:rPr>
        <w:t>Lathwal</w:t>
      </w:r>
      <w:proofErr w:type="spellEnd"/>
      <w:r w:rsidRPr="006335A3">
        <w:rPr>
          <w:rFonts w:cs="Calibri"/>
          <w:sz w:val="24"/>
          <w:szCs w:val="24"/>
          <w:lang w:val="en-US"/>
        </w:rPr>
        <w:t xml:space="preserve"> A</w:t>
      </w:r>
      <w:r w:rsidR="00590CD4" w:rsidRPr="00C26FD9">
        <w:rPr>
          <w:rFonts w:cs="Calibri"/>
          <w:sz w:val="24"/>
          <w:szCs w:val="24"/>
          <w:lang w:val="en-US"/>
        </w:rPr>
        <w:t>, et al. Profile of co-infections &amp; secondary infections in COVID-19 patients at a dedicated COVID-19 facility of a tertiary care Indian hospital: Implication on antimicrobial resistance. </w:t>
      </w:r>
      <w:r w:rsidR="00590CD4" w:rsidRPr="00C26FD9">
        <w:rPr>
          <w:rFonts w:cs="Calibri"/>
          <w:i/>
          <w:iCs/>
          <w:sz w:val="24"/>
          <w:szCs w:val="24"/>
          <w:lang w:val="en-US"/>
        </w:rPr>
        <w:t xml:space="preserve">Indian J Med </w:t>
      </w:r>
      <w:proofErr w:type="spellStart"/>
      <w:r w:rsidR="00590CD4" w:rsidRPr="00C26FD9">
        <w:rPr>
          <w:rFonts w:cs="Calibri"/>
          <w:i/>
          <w:iCs/>
          <w:sz w:val="24"/>
          <w:szCs w:val="24"/>
          <w:lang w:val="en-US"/>
        </w:rPr>
        <w:t>Microbiol</w:t>
      </w:r>
      <w:proofErr w:type="spellEnd"/>
      <w:r w:rsidR="00590CD4" w:rsidRPr="00C26FD9">
        <w:rPr>
          <w:rFonts w:cs="Calibri"/>
          <w:sz w:val="24"/>
          <w:szCs w:val="24"/>
          <w:lang w:val="en-US"/>
        </w:rPr>
        <w:t>. 2021</w:t>
      </w:r>
      <w:proofErr w:type="gramStart"/>
      <w:r w:rsidR="00590CD4" w:rsidRPr="00C26FD9">
        <w:rPr>
          <w:rFonts w:cs="Calibri"/>
          <w:sz w:val="24"/>
          <w:szCs w:val="24"/>
          <w:lang w:val="en-US"/>
        </w:rPr>
        <w:t>;39</w:t>
      </w:r>
      <w:proofErr w:type="gramEnd"/>
      <w:r w:rsidR="00590CD4" w:rsidRPr="00C26FD9">
        <w:rPr>
          <w:rFonts w:cs="Calibri"/>
          <w:sz w:val="24"/>
          <w:szCs w:val="24"/>
          <w:lang w:val="en-US"/>
        </w:rPr>
        <w:t xml:space="preserve">(2):147-153. </w:t>
      </w:r>
    </w:p>
    <w:p w14:paraId="7092187C" w14:textId="6533B66B" w:rsidR="009F20C1" w:rsidRPr="006335A3" w:rsidRDefault="009F20C1" w:rsidP="009F20C1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t xml:space="preserve"> Stevens RW, Jensen K, </w:t>
      </w:r>
      <w:proofErr w:type="spellStart"/>
      <w:r w:rsidRPr="00C26FD9">
        <w:rPr>
          <w:rFonts w:cs="Calibri"/>
          <w:sz w:val="24"/>
          <w:szCs w:val="24"/>
          <w:lang w:val="en-US"/>
        </w:rPr>
        <w:t>O'Horo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JC, Shah A. Antimicrobial prescribing practices at a tertiary-care center in patients diagnosed with COVID-19 across the continuum of care. </w:t>
      </w:r>
      <w:r w:rsidRPr="006335A3">
        <w:rPr>
          <w:rFonts w:cs="Calibri"/>
          <w:i/>
          <w:iCs/>
          <w:sz w:val="24"/>
          <w:szCs w:val="24"/>
          <w:lang w:val="en-US"/>
        </w:rPr>
        <w:t xml:space="preserve">Infect Control </w:t>
      </w:r>
      <w:proofErr w:type="spellStart"/>
      <w:r w:rsidRPr="006335A3">
        <w:rPr>
          <w:rFonts w:cs="Calibri"/>
          <w:i/>
          <w:iCs/>
          <w:sz w:val="24"/>
          <w:szCs w:val="24"/>
          <w:lang w:val="en-US"/>
        </w:rPr>
        <w:t>Hosp</w:t>
      </w:r>
      <w:proofErr w:type="spellEnd"/>
      <w:r w:rsidRPr="006335A3">
        <w:rPr>
          <w:rFonts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6335A3">
        <w:rPr>
          <w:rFonts w:cs="Calibri"/>
          <w:i/>
          <w:iCs/>
          <w:sz w:val="24"/>
          <w:szCs w:val="24"/>
          <w:lang w:val="en-US"/>
        </w:rPr>
        <w:t>Epidemiol</w:t>
      </w:r>
      <w:proofErr w:type="spellEnd"/>
      <w:r w:rsidRPr="006335A3">
        <w:rPr>
          <w:rFonts w:cs="Calibri"/>
          <w:sz w:val="24"/>
          <w:szCs w:val="24"/>
          <w:lang w:val="en-US"/>
        </w:rPr>
        <w:t>. 2021</w:t>
      </w:r>
      <w:proofErr w:type="gramStart"/>
      <w:r w:rsidRPr="006335A3">
        <w:rPr>
          <w:rFonts w:cs="Calibri"/>
          <w:sz w:val="24"/>
          <w:szCs w:val="24"/>
          <w:lang w:val="en-US"/>
        </w:rPr>
        <w:t>;42</w:t>
      </w:r>
      <w:proofErr w:type="gramEnd"/>
      <w:r w:rsidRPr="006335A3">
        <w:rPr>
          <w:rFonts w:cs="Calibri"/>
          <w:sz w:val="24"/>
          <w:szCs w:val="24"/>
          <w:lang w:val="en-US"/>
        </w:rPr>
        <w:t xml:space="preserve">(1):89-92. </w:t>
      </w:r>
    </w:p>
    <w:p w14:paraId="2FC25112" w14:textId="383589F0" w:rsidR="00E44361" w:rsidRPr="006335A3" w:rsidRDefault="00E44361" w:rsidP="00E44361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t xml:space="preserve"> Martin AJ, </w:t>
      </w:r>
      <w:proofErr w:type="spellStart"/>
      <w:r w:rsidRPr="00C26FD9">
        <w:rPr>
          <w:rFonts w:cs="Calibri"/>
          <w:sz w:val="24"/>
          <w:szCs w:val="24"/>
          <w:lang w:val="en-US"/>
        </w:rPr>
        <w:t>Shulder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S, </w:t>
      </w:r>
      <w:proofErr w:type="spellStart"/>
      <w:r w:rsidRPr="00C26FD9">
        <w:rPr>
          <w:rFonts w:cs="Calibri"/>
          <w:sz w:val="24"/>
          <w:szCs w:val="24"/>
          <w:lang w:val="en-US"/>
        </w:rPr>
        <w:t>Dobrzynski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D, </w:t>
      </w:r>
      <w:proofErr w:type="spellStart"/>
      <w:r w:rsidRPr="00C26FD9">
        <w:rPr>
          <w:rFonts w:cs="Calibri"/>
          <w:sz w:val="24"/>
          <w:szCs w:val="24"/>
          <w:lang w:val="en-US"/>
        </w:rPr>
        <w:t>Quartuccio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K, </w:t>
      </w:r>
      <w:proofErr w:type="spellStart"/>
      <w:r w:rsidRPr="00C26FD9">
        <w:rPr>
          <w:rFonts w:cs="Calibri"/>
          <w:sz w:val="24"/>
          <w:szCs w:val="24"/>
          <w:lang w:val="en-US"/>
        </w:rPr>
        <w:t>Pillinger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KE. Antibiotic Use and Associated Risk Factors for Antibiotic Prescribing in COVID-19 Hospitalized Patients. </w:t>
      </w:r>
      <w:r w:rsidRPr="006335A3">
        <w:rPr>
          <w:rFonts w:cs="Calibri"/>
          <w:i/>
          <w:iCs/>
          <w:sz w:val="24"/>
          <w:szCs w:val="24"/>
          <w:lang w:val="en-US"/>
        </w:rPr>
        <w:t xml:space="preserve">J Pharm </w:t>
      </w:r>
      <w:proofErr w:type="spellStart"/>
      <w:r w:rsidRPr="006335A3">
        <w:rPr>
          <w:rFonts w:cs="Calibri"/>
          <w:i/>
          <w:iCs/>
          <w:sz w:val="24"/>
          <w:szCs w:val="24"/>
          <w:lang w:val="en-US"/>
        </w:rPr>
        <w:t>Pract</w:t>
      </w:r>
      <w:proofErr w:type="spellEnd"/>
      <w:r w:rsidRPr="006335A3">
        <w:rPr>
          <w:rFonts w:cs="Calibri"/>
          <w:sz w:val="24"/>
          <w:szCs w:val="24"/>
          <w:lang w:val="en-US"/>
        </w:rPr>
        <w:t>. 2021</w:t>
      </w:r>
      <w:proofErr w:type="gramStart"/>
      <w:r w:rsidRPr="006335A3">
        <w:rPr>
          <w:rFonts w:cs="Calibri"/>
          <w:sz w:val="24"/>
          <w:szCs w:val="24"/>
          <w:lang w:val="en-US"/>
        </w:rPr>
        <w:t>;8971900211030248</w:t>
      </w:r>
      <w:proofErr w:type="gramEnd"/>
      <w:r w:rsidRPr="006335A3">
        <w:rPr>
          <w:rFonts w:cs="Calibri"/>
          <w:sz w:val="24"/>
          <w:szCs w:val="24"/>
          <w:lang w:val="en-US"/>
        </w:rPr>
        <w:t xml:space="preserve">. </w:t>
      </w:r>
    </w:p>
    <w:p w14:paraId="4CACFB7A" w14:textId="05D6EBD9" w:rsidR="00DF4EE9" w:rsidRPr="00C26FD9" w:rsidRDefault="00DF4EE9" w:rsidP="00DF4EE9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6335A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986BC7">
        <w:rPr>
          <w:rFonts w:cs="Calibri"/>
          <w:sz w:val="24"/>
          <w:szCs w:val="24"/>
          <w:lang w:val="en-US"/>
        </w:rPr>
        <w:t>Díaz</w:t>
      </w:r>
      <w:proofErr w:type="spellEnd"/>
      <w:r w:rsidRPr="00986BC7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986BC7">
        <w:rPr>
          <w:rFonts w:cs="Calibri"/>
          <w:sz w:val="24"/>
          <w:szCs w:val="24"/>
          <w:lang w:val="en-US"/>
        </w:rPr>
        <w:t>Pollán</w:t>
      </w:r>
      <w:proofErr w:type="spellEnd"/>
      <w:r w:rsidRPr="00986BC7">
        <w:rPr>
          <w:rFonts w:cs="Calibri"/>
          <w:sz w:val="24"/>
          <w:szCs w:val="24"/>
          <w:lang w:val="en-US"/>
        </w:rPr>
        <w:t xml:space="preserve"> B, </w:t>
      </w:r>
      <w:proofErr w:type="spellStart"/>
      <w:r w:rsidRPr="00986BC7">
        <w:rPr>
          <w:rFonts w:cs="Calibri"/>
          <w:sz w:val="24"/>
          <w:szCs w:val="24"/>
          <w:lang w:val="en-US"/>
        </w:rPr>
        <w:t>Guedez</w:t>
      </w:r>
      <w:proofErr w:type="spellEnd"/>
      <w:r w:rsidRPr="00986BC7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986BC7">
        <w:rPr>
          <w:rFonts w:cs="Calibri"/>
          <w:sz w:val="24"/>
          <w:szCs w:val="24"/>
          <w:lang w:val="en-US"/>
        </w:rPr>
        <w:t>López</w:t>
      </w:r>
      <w:proofErr w:type="spellEnd"/>
      <w:r w:rsidRPr="00986BC7">
        <w:rPr>
          <w:rFonts w:cs="Calibri"/>
          <w:sz w:val="24"/>
          <w:szCs w:val="24"/>
          <w:lang w:val="en-US"/>
        </w:rPr>
        <w:t xml:space="preserve"> GV, </w:t>
      </w:r>
      <w:proofErr w:type="spellStart"/>
      <w:r w:rsidRPr="00986BC7">
        <w:rPr>
          <w:rFonts w:cs="Calibri"/>
          <w:sz w:val="24"/>
          <w:szCs w:val="24"/>
          <w:lang w:val="en-US"/>
        </w:rPr>
        <w:t>García</w:t>
      </w:r>
      <w:proofErr w:type="spellEnd"/>
      <w:r w:rsidRPr="00986BC7">
        <w:rPr>
          <w:rFonts w:cs="Calibri"/>
          <w:sz w:val="24"/>
          <w:szCs w:val="24"/>
          <w:lang w:val="en-US"/>
        </w:rPr>
        <w:t xml:space="preserve"> Clemente PM, Jiménez González M, </w:t>
      </w:r>
      <w:proofErr w:type="spellStart"/>
      <w:r w:rsidRPr="00986BC7">
        <w:rPr>
          <w:rFonts w:cs="Calibri"/>
          <w:sz w:val="24"/>
          <w:szCs w:val="24"/>
          <w:lang w:val="en-US"/>
        </w:rPr>
        <w:t>García</w:t>
      </w:r>
      <w:proofErr w:type="spellEnd"/>
      <w:r w:rsidRPr="00986BC7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986BC7">
        <w:rPr>
          <w:rFonts w:cs="Calibri"/>
          <w:sz w:val="24"/>
          <w:szCs w:val="24"/>
          <w:lang w:val="en-US"/>
        </w:rPr>
        <w:t>Bujalance</w:t>
      </w:r>
      <w:proofErr w:type="spellEnd"/>
      <w:r w:rsidRPr="00986BC7">
        <w:rPr>
          <w:rFonts w:cs="Calibri"/>
          <w:sz w:val="24"/>
          <w:szCs w:val="24"/>
          <w:lang w:val="en-US"/>
        </w:rPr>
        <w:t xml:space="preserve"> S, Gómez-Gil </w:t>
      </w:r>
      <w:proofErr w:type="spellStart"/>
      <w:r w:rsidRPr="00986BC7">
        <w:rPr>
          <w:rFonts w:cs="Calibri"/>
          <w:sz w:val="24"/>
          <w:szCs w:val="24"/>
          <w:lang w:val="en-US"/>
        </w:rPr>
        <w:t>Mirá</w:t>
      </w:r>
      <w:proofErr w:type="spellEnd"/>
      <w:r w:rsidRPr="00986BC7">
        <w:rPr>
          <w:rFonts w:cs="Calibri"/>
          <w:sz w:val="24"/>
          <w:szCs w:val="24"/>
          <w:lang w:val="en-US"/>
        </w:rPr>
        <w:t xml:space="preserve"> MR. </w:t>
      </w:r>
      <w:r w:rsidRPr="00C26FD9">
        <w:rPr>
          <w:rFonts w:cs="Calibri"/>
          <w:sz w:val="24"/>
          <w:szCs w:val="24"/>
          <w:lang w:val="en-US"/>
        </w:rPr>
        <w:t>Urinary Tract Infections in Hospitalized COVID-19 Patients, What's Up, Doc?. </w:t>
      </w:r>
      <w:r w:rsidRPr="00C26FD9">
        <w:rPr>
          <w:rFonts w:cs="Calibri"/>
          <w:i/>
          <w:iCs/>
          <w:sz w:val="24"/>
          <w:szCs w:val="24"/>
          <w:lang w:val="en-US"/>
        </w:rPr>
        <w:t xml:space="preserve">J </w:t>
      </w:r>
      <w:proofErr w:type="spellStart"/>
      <w:r w:rsidRPr="00C26FD9">
        <w:rPr>
          <w:rFonts w:cs="Calibri"/>
          <w:i/>
          <w:iCs/>
          <w:sz w:val="24"/>
          <w:szCs w:val="24"/>
          <w:lang w:val="en-US"/>
        </w:rPr>
        <w:t>Clin</w:t>
      </w:r>
      <w:proofErr w:type="spellEnd"/>
      <w:r w:rsidRPr="00C26FD9">
        <w:rPr>
          <w:rFonts w:cs="Calibri"/>
          <w:i/>
          <w:iCs/>
          <w:sz w:val="24"/>
          <w:szCs w:val="24"/>
          <w:lang w:val="en-US"/>
        </w:rPr>
        <w:t xml:space="preserve"> Med</w:t>
      </w:r>
      <w:r w:rsidRPr="00C26FD9">
        <w:rPr>
          <w:rFonts w:cs="Calibri"/>
          <w:sz w:val="24"/>
          <w:szCs w:val="24"/>
          <w:lang w:val="en-US"/>
        </w:rPr>
        <w:t>. 2022</w:t>
      </w:r>
      <w:proofErr w:type="gramStart"/>
      <w:r w:rsidRPr="00C26FD9">
        <w:rPr>
          <w:rFonts w:cs="Calibri"/>
          <w:sz w:val="24"/>
          <w:szCs w:val="24"/>
          <w:lang w:val="en-US"/>
        </w:rPr>
        <w:t>;11</w:t>
      </w:r>
      <w:proofErr w:type="gramEnd"/>
      <w:r w:rsidRPr="00C26FD9">
        <w:rPr>
          <w:rFonts w:cs="Calibri"/>
          <w:sz w:val="24"/>
          <w:szCs w:val="24"/>
          <w:lang w:val="en-US"/>
        </w:rPr>
        <w:t xml:space="preserve">(7):1815. </w:t>
      </w:r>
    </w:p>
    <w:p w14:paraId="23384C4B" w14:textId="21228FF8" w:rsidR="00A56035" w:rsidRPr="00C26FD9" w:rsidRDefault="00A56035" w:rsidP="00A56035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C26FD9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26FD9">
        <w:rPr>
          <w:rFonts w:cs="Calibri"/>
          <w:sz w:val="24"/>
          <w:szCs w:val="24"/>
          <w:lang w:val="en-US"/>
        </w:rPr>
        <w:t>Kyriazopoulou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E, </w:t>
      </w:r>
      <w:proofErr w:type="spellStart"/>
      <w:r w:rsidRPr="00C26FD9">
        <w:rPr>
          <w:rFonts w:cs="Calibri"/>
          <w:sz w:val="24"/>
          <w:szCs w:val="24"/>
          <w:lang w:val="en-US"/>
        </w:rPr>
        <w:t>Giamarellos-Bourboulis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EJ. Antimicrobial Stewardship Using Biomarkers: Accumulating Evidence for the Critically Ill. </w:t>
      </w:r>
      <w:proofErr w:type="spellStart"/>
      <w:r w:rsidRPr="00C26FD9">
        <w:rPr>
          <w:rFonts w:cs="Calibri"/>
          <w:i/>
          <w:iCs/>
          <w:sz w:val="24"/>
          <w:szCs w:val="24"/>
        </w:rPr>
        <w:t>Antibiotics</w:t>
      </w:r>
      <w:proofErr w:type="spellEnd"/>
      <w:r w:rsidRPr="00C26FD9">
        <w:rPr>
          <w:rFonts w:cs="Calibri"/>
          <w:i/>
          <w:iCs/>
          <w:sz w:val="24"/>
          <w:szCs w:val="24"/>
        </w:rPr>
        <w:t xml:space="preserve"> (</w:t>
      </w:r>
      <w:proofErr w:type="spellStart"/>
      <w:r w:rsidRPr="00C26FD9">
        <w:rPr>
          <w:rFonts w:cs="Calibri"/>
          <w:i/>
          <w:iCs/>
          <w:sz w:val="24"/>
          <w:szCs w:val="24"/>
        </w:rPr>
        <w:t>Basel</w:t>
      </w:r>
      <w:proofErr w:type="spellEnd"/>
      <w:r w:rsidRPr="00C26FD9">
        <w:rPr>
          <w:rFonts w:cs="Calibri"/>
          <w:i/>
          <w:iCs/>
          <w:sz w:val="24"/>
          <w:szCs w:val="24"/>
        </w:rPr>
        <w:t>)</w:t>
      </w:r>
      <w:r w:rsidRPr="00C26FD9">
        <w:rPr>
          <w:rFonts w:cs="Calibri"/>
          <w:sz w:val="24"/>
          <w:szCs w:val="24"/>
        </w:rPr>
        <w:t xml:space="preserve">. 2022;11(3):367. </w:t>
      </w:r>
    </w:p>
    <w:p w14:paraId="41D38BF9" w14:textId="38956DE0" w:rsidR="00A56035" w:rsidRPr="00C26FD9" w:rsidRDefault="003C50F7" w:rsidP="00A56035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spellStart"/>
      <w:r w:rsidRPr="003C50F7">
        <w:rPr>
          <w:rFonts w:cs="Calibri"/>
          <w:sz w:val="24"/>
          <w:szCs w:val="24"/>
          <w:lang w:val="en-US"/>
        </w:rPr>
        <w:t>Zuglian</w:t>
      </w:r>
      <w:proofErr w:type="spellEnd"/>
      <w:r w:rsidRPr="003C50F7">
        <w:rPr>
          <w:rFonts w:cs="Calibri"/>
          <w:sz w:val="24"/>
          <w:szCs w:val="24"/>
          <w:lang w:val="en-US"/>
        </w:rPr>
        <w:t xml:space="preserve"> G, </w:t>
      </w:r>
      <w:proofErr w:type="spellStart"/>
      <w:r w:rsidRPr="003C50F7">
        <w:rPr>
          <w:rFonts w:cs="Calibri"/>
          <w:sz w:val="24"/>
          <w:szCs w:val="24"/>
          <w:lang w:val="en-US"/>
        </w:rPr>
        <w:t>Ripamonti</w:t>
      </w:r>
      <w:proofErr w:type="spellEnd"/>
      <w:r w:rsidRPr="003C50F7">
        <w:rPr>
          <w:rFonts w:cs="Calibri"/>
          <w:sz w:val="24"/>
          <w:szCs w:val="24"/>
          <w:lang w:val="en-US"/>
        </w:rPr>
        <w:t xml:space="preserve"> D, Tebald</w:t>
      </w:r>
      <w:r>
        <w:rPr>
          <w:rFonts w:cs="Calibri"/>
          <w:sz w:val="24"/>
          <w:szCs w:val="24"/>
          <w:lang w:val="en-US"/>
        </w:rPr>
        <w:t xml:space="preserve">i A, </w:t>
      </w:r>
      <w:proofErr w:type="spellStart"/>
      <w:r>
        <w:rPr>
          <w:rFonts w:cs="Calibri"/>
          <w:sz w:val="24"/>
          <w:szCs w:val="24"/>
          <w:lang w:val="en-US"/>
        </w:rPr>
        <w:t>Cuntrò</w:t>
      </w:r>
      <w:proofErr w:type="spellEnd"/>
      <w:r>
        <w:rPr>
          <w:rFonts w:cs="Calibri"/>
          <w:sz w:val="24"/>
          <w:szCs w:val="24"/>
          <w:lang w:val="en-US"/>
        </w:rPr>
        <w:t xml:space="preserve"> M, Riva I, Farina C</w:t>
      </w:r>
      <w:r w:rsidR="00A56035" w:rsidRPr="00C26FD9">
        <w:rPr>
          <w:rFonts w:cs="Calibri"/>
          <w:sz w:val="24"/>
          <w:szCs w:val="24"/>
          <w:lang w:val="it-IT"/>
        </w:rPr>
        <w:t xml:space="preserve">, et al. </w:t>
      </w:r>
      <w:r w:rsidR="00A56035" w:rsidRPr="00C26FD9">
        <w:rPr>
          <w:rFonts w:cs="Calibri"/>
          <w:sz w:val="24"/>
          <w:szCs w:val="24"/>
          <w:lang w:val="en-US"/>
        </w:rPr>
        <w:t>The changing pattern of bacterial and fungal respiratory isolates in patients with and without COVID-19 admitted to intensive care unit. </w:t>
      </w:r>
      <w:r w:rsidR="00A56035" w:rsidRPr="00C26FD9">
        <w:rPr>
          <w:rFonts w:cs="Calibri"/>
          <w:i/>
          <w:iCs/>
          <w:sz w:val="24"/>
          <w:szCs w:val="24"/>
        </w:rPr>
        <w:t xml:space="preserve">BMC </w:t>
      </w:r>
      <w:proofErr w:type="spellStart"/>
      <w:r w:rsidR="00A56035" w:rsidRPr="00C26FD9">
        <w:rPr>
          <w:rFonts w:cs="Calibri"/>
          <w:i/>
          <w:iCs/>
          <w:sz w:val="24"/>
          <w:szCs w:val="24"/>
        </w:rPr>
        <w:t>Infect</w:t>
      </w:r>
      <w:proofErr w:type="spellEnd"/>
      <w:r w:rsidR="00A56035" w:rsidRPr="00C26FD9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="00A56035" w:rsidRPr="00C26FD9">
        <w:rPr>
          <w:rFonts w:cs="Calibri"/>
          <w:i/>
          <w:iCs/>
          <w:sz w:val="24"/>
          <w:szCs w:val="24"/>
        </w:rPr>
        <w:t>Dis</w:t>
      </w:r>
      <w:proofErr w:type="spellEnd"/>
      <w:r w:rsidR="00A56035" w:rsidRPr="00C26FD9">
        <w:rPr>
          <w:rFonts w:cs="Calibri"/>
          <w:sz w:val="24"/>
          <w:szCs w:val="24"/>
        </w:rPr>
        <w:t xml:space="preserve">. 2022;22(1):185. </w:t>
      </w:r>
    </w:p>
    <w:p w14:paraId="6BADA82B" w14:textId="77777777" w:rsidR="00BC3B07" w:rsidRPr="00C26FD9" w:rsidRDefault="00BC3B07" w:rsidP="00BC3B07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t xml:space="preserve"> WHO. WHO coronavirus (COVID-19) dashboard. Covid19.who.int, 2022. Available:  </w:t>
      </w:r>
      <w:hyperlink r:id="rId5" w:history="1">
        <w:r w:rsidRPr="00C26FD9">
          <w:rPr>
            <w:rStyle w:val="a3"/>
            <w:rFonts w:cs="Calibri"/>
            <w:sz w:val="24"/>
            <w:szCs w:val="24"/>
            <w:lang w:val="en-US"/>
          </w:rPr>
          <w:t>https://covid19.who.int/</w:t>
        </w:r>
      </w:hyperlink>
      <w:r w:rsidRPr="00C26FD9">
        <w:rPr>
          <w:rFonts w:cs="Calibri"/>
          <w:sz w:val="24"/>
          <w:szCs w:val="24"/>
          <w:lang w:val="en-US"/>
        </w:rPr>
        <w:t> [Accessed 23 August 2022].</w:t>
      </w:r>
      <w:hyperlink r:id="rId6" w:history="1">
        <w:r w:rsidRPr="00C26FD9">
          <w:rPr>
            <w:rStyle w:val="a3"/>
            <w:rFonts w:cs="Calibri"/>
            <w:sz w:val="24"/>
            <w:szCs w:val="24"/>
            <w:lang w:val="en-US"/>
          </w:rPr>
          <w:t>Google Scholar</w:t>
        </w:r>
      </w:hyperlink>
    </w:p>
    <w:p w14:paraId="00197C3A" w14:textId="57A505C9" w:rsidR="00E47B48" w:rsidRPr="00C26FD9" w:rsidRDefault="00E47B48" w:rsidP="00E47B48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C26FD9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26FD9">
        <w:rPr>
          <w:rFonts w:cs="Calibri"/>
          <w:sz w:val="24"/>
          <w:szCs w:val="24"/>
          <w:lang w:val="en-US"/>
        </w:rPr>
        <w:t>Hadj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26FD9">
        <w:rPr>
          <w:rFonts w:cs="Calibri"/>
          <w:sz w:val="24"/>
          <w:szCs w:val="24"/>
          <w:lang w:val="en-US"/>
        </w:rPr>
        <w:t>Hassine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I. Covid-19 vaccines and variants of concern: A review. </w:t>
      </w:r>
      <w:proofErr w:type="spellStart"/>
      <w:r w:rsidRPr="00C26FD9">
        <w:rPr>
          <w:rFonts w:cs="Calibri"/>
          <w:i/>
          <w:iCs/>
          <w:sz w:val="24"/>
          <w:szCs w:val="24"/>
        </w:rPr>
        <w:t>Rev</w:t>
      </w:r>
      <w:proofErr w:type="spellEnd"/>
      <w:r w:rsidRPr="00C26FD9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C26FD9">
        <w:rPr>
          <w:rFonts w:cs="Calibri"/>
          <w:i/>
          <w:iCs/>
          <w:sz w:val="24"/>
          <w:szCs w:val="24"/>
        </w:rPr>
        <w:t>Med</w:t>
      </w:r>
      <w:proofErr w:type="spellEnd"/>
      <w:r w:rsidRPr="00C26FD9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C26FD9">
        <w:rPr>
          <w:rFonts w:cs="Calibri"/>
          <w:i/>
          <w:iCs/>
          <w:sz w:val="24"/>
          <w:szCs w:val="24"/>
        </w:rPr>
        <w:t>Virol</w:t>
      </w:r>
      <w:proofErr w:type="spellEnd"/>
      <w:r w:rsidRPr="00C26FD9">
        <w:rPr>
          <w:rFonts w:cs="Calibri"/>
          <w:sz w:val="24"/>
          <w:szCs w:val="24"/>
        </w:rPr>
        <w:t>. 2022;32(4</w:t>
      </w:r>
      <w:proofErr w:type="gramStart"/>
      <w:r w:rsidRPr="00C26FD9">
        <w:rPr>
          <w:rFonts w:cs="Calibri"/>
          <w:sz w:val="24"/>
          <w:szCs w:val="24"/>
        </w:rPr>
        <w:t>):e</w:t>
      </w:r>
      <w:proofErr w:type="gramEnd"/>
      <w:r w:rsidRPr="00C26FD9">
        <w:rPr>
          <w:rFonts w:cs="Calibri"/>
          <w:sz w:val="24"/>
          <w:szCs w:val="24"/>
        </w:rPr>
        <w:t xml:space="preserve">2313. </w:t>
      </w:r>
    </w:p>
    <w:p w14:paraId="6CBF6142" w14:textId="70DBE0EF" w:rsidR="00E47B48" w:rsidRPr="00C26FD9" w:rsidRDefault="00E47B48" w:rsidP="00E47B48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C26FD9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26FD9">
        <w:rPr>
          <w:rFonts w:cs="Calibri"/>
          <w:sz w:val="24"/>
          <w:szCs w:val="24"/>
          <w:lang w:val="en-US"/>
        </w:rPr>
        <w:t>Fiolet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T, </w:t>
      </w:r>
      <w:proofErr w:type="spellStart"/>
      <w:r w:rsidRPr="00C26FD9">
        <w:rPr>
          <w:rFonts w:cs="Calibri"/>
          <w:sz w:val="24"/>
          <w:szCs w:val="24"/>
          <w:lang w:val="en-US"/>
        </w:rPr>
        <w:t>Kherabi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Y, MacDonald CJ, Ghosn J, </w:t>
      </w:r>
      <w:proofErr w:type="spellStart"/>
      <w:r w:rsidRPr="00C26FD9">
        <w:rPr>
          <w:rFonts w:cs="Calibri"/>
          <w:sz w:val="24"/>
          <w:szCs w:val="24"/>
          <w:lang w:val="en-US"/>
        </w:rPr>
        <w:t>Peiffer-Smadja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N. Comparing COVID-19 vaccines for their characteristics, efficacy and effectiveness against SARS-CoV-2 and variants of concern: a narrative review. </w:t>
      </w:r>
      <w:proofErr w:type="spellStart"/>
      <w:r w:rsidRPr="00C26FD9">
        <w:rPr>
          <w:rFonts w:cs="Calibri"/>
          <w:i/>
          <w:iCs/>
          <w:sz w:val="24"/>
          <w:szCs w:val="24"/>
        </w:rPr>
        <w:t>Clin</w:t>
      </w:r>
      <w:proofErr w:type="spellEnd"/>
      <w:r w:rsidRPr="00C26FD9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C26FD9">
        <w:rPr>
          <w:rFonts w:cs="Calibri"/>
          <w:i/>
          <w:iCs/>
          <w:sz w:val="24"/>
          <w:szCs w:val="24"/>
        </w:rPr>
        <w:t>Microbiol</w:t>
      </w:r>
      <w:proofErr w:type="spellEnd"/>
      <w:r w:rsidRPr="00C26FD9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C26FD9">
        <w:rPr>
          <w:rFonts w:cs="Calibri"/>
          <w:i/>
          <w:iCs/>
          <w:sz w:val="24"/>
          <w:szCs w:val="24"/>
        </w:rPr>
        <w:t>Infect</w:t>
      </w:r>
      <w:proofErr w:type="spellEnd"/>
      <w:r w:rsidRPr="00C26FD9">
        <w:rPr>
          <w:rFonts w:cs="Calibri"/>
          <w:sz w:val="24"/>
          <w:szCs w:val="24"/>
        </w:rPr>
        <w:t>. 2022;28(2):202-221.</w:t>
      </w:r>
    </w:p>
    <w:p w14:paraId="050316EB" w14:textId="3E5126C3" w:rsidR="00CE6A4E" w:rsidRPr="00C26FD9" w:rsidRDefault="00CE6A4E" w:rsidP="00CE6A4E">
      <w:pPr>
        <w:pStyle w:val="a4"/>
        <w:numPr>
          <w:ilvl w:val="0"/>
          <w:numId w:val="1"/>
        </w:numPr>
        <w:jc w:val="both"/>
        <w:rPr>
          <w:rFonts w:cs="Calibri"/>
          <w:sz w:val="24"/>
          <w:szCs w:val="24"/>
          <w:lang w:val="en-US"/>
        </w:rPr>
      </w:pPr>
      <w:r w:rsidRPr="00C26FD9">
        <w:rPr>
          <w:rFonts w:cs="Calibri"/>
          <w:sz w:val="24"/>
          <w:szCs w:val="24"/>
          <w:lang w:val="en-US"/>
        </w:rPr>
        <w:t xml:space="preserve"> Ghosh S, </w:t>
      </w:r>
      <w:proofErr w:type="spellStart"/>
      <w:r w:rsidRPr="00C26FD9">
        <w:rPr>
          <w:rFonts w:cs="Calibri"/>
          <w:sz w:val="24"/>
          <w:szCs w:val="24"/>
          <w:lang w:val="en-US"/>
        </w:rPr>
        <w:t>Bornman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C, </w:t>
      </w:r>
      <w:proofErr w:type="spellStart"/>
      <w:r w:rsidRPr="00C26FD9">
        <w:rPr>
          <w:rFonts w:cs="Calibri"/>
          <w:sz w:val="24"/>
          <w:szCs w:val="24"/>
          <w:lang w:val="en-US"/>
        </w:rPr>
        <w:t>Zafer</w:t>
      </w:r>
      <w:proofErr w:type="spellEnd"/>
      <w:r w:rsidRPr="00C26FD9">
        <w:rPr>
          <w:rFonts w:cs="Calibri"/>
          <w:sz w:val="24"/>
          <w:szCs w:val="24"/>
          <w:lang w:val="en-US"/>
        </w:rPr>
        <w:t xml:space="preserve"> MM. Antimicrobial Resistance Threats in the emerging COVID-19 pandemic: Where do we stand</w:t>
      </w:r>
      <w:proofErr w:type="gramStart"/>
      <w:r w:rsidRPr="00C26FD9">
        <w:rPr>
          <w:rFonts w:cs="Calibri"/>
          <w:sz w:val="24"/>
          <w:szCs w:val="24"/>
          <w:lang w:val="en-US"/>
        </w:rPr>
        <w:t>?.</w:t>
      </w:r>
      <w:proofErr w:type="gramEnd"/>
      <w:r w:rsidRPr="00C26FD9">
        <w:rPr>
          <w:rFonts w:cs="Calibri"/>
          <w:sz w:val="24"/>
          <w:szCs w:val="24"/>
          <w:lang w:val="en-US"/>
        </w:rPr>
        <w:t> </w:t>
      </w:r>
      <w:r w:rsidRPr="00C26FD9">
        <w:rPr>
          <w:rFonts w:cs="Calibri"/>
          <w:i/>
          <w:iCs/>
          <w:sz w:val="24"/>
          <w:szCs w:val="24"/>
          <w:lang w:val="en-US"/>
        </w:rPr>
        <w:t>J Infect Public Health</w:t>
      </w:r>
      <w:r w:rsidRPr="00C26FD9">
        <w:rPr>
          <w:rFonts w:cs="Calibri"/>
          <w:sz w:val="24"/>
          <w:szCs w:val="24"/>
          <w:lang w:val="en-US"/>
        </w:rPr>
        <w:t>. 2021</w:t>
      </w:r>
      <w:proofErr w:type="gramStart"/>
      <w:r w:rsidRPr="00C26FD9">
        <w:rPr>
          <w:rFonts w:cs="Calibri"/>
          <w:sz w:val="24"/>
          <w:szCs w:val="24"/>
          <w:lang w:val="en-US"/>
        </w:rPr>
        <w:t>;14</w:t>
      </w:r>
      <w:proofErr w:type="gramEnd"/>
      <w:r w:rsidRPr="00C26FD9">
        <w:rPr>
          <w:rFonts w:cs="Calibri"/>
          <w:sz w:val="24"/>
          <w:szCs w:val="24"/>
          <w:lang w:val="en-US"/>
        </w:rPr>
        <w:t xml:space="preserve">(5):555-560. </w:t>
      </w:r>
    </w:p>
    <w:p w14:paraId="6292F2E3" w14:textId="77777777" w:rsidR="00DE7C43" w:rsidRPr="004E56B2" w:rsidRDefault="00DE7C43" w:rsidP="00DE7C43">
      <w:pPr>
        <w:jc w:val="both"/>
        <w:rPr>
          <w:sz w:val="24"/>
          <w:szCs w:val="24"/>
          <w:lang w:val="en-US"/>
        </w:rPr>
      </w:pPr>
    </w:p>
    <w:p w14:paraId="3A7CCD2D" w14:textId="77777777" w:rsidR="00DE7C43" w:rsidRPr="00DE7C43" w:rsidRDefault="00DE7C43" w:rsidP="00DE7C43">
      <w:pPr>
        <w:jc w:val="both"/>
        <w:rPr>
          <w:sz w:val="24"/>
          <w:szCs w:val="24"/>
          <w:lang w:val="en-US"/>
        </w:rPr>
      </w:pPr>
    </w:p>
    <w:p w14:paraId="60D8019A" w14:textId="77777777" w:rsidR="00CC529D" w:rsidRDefault="00CC529D" w:rsidP="008619EB">
      <w:pPr>
        <w:jc w:val="both"/>
        <w:rPr>
          <w:sz w:val="24"/>
          <w:szCs w:val="24"/>
          <w:lang w:val="en-US"/>
        </w:rPr>
      </w:pPr>
    </w:p>
    <w:p w14:paraId="59C24B02" w14:textId="77777777" w:rsidR="00BC56AA" w:rsidRDefault="00BC56AA" w:rsidP="008619EB">
      <w:pPr>
        <w:jc w:val="both"/>
        <w:rPr>
          <w:sz w:val="24"/>
          <w:szCs w:val="24"/>
          <w:lang w:val="en-US"/>
        </w:rPr>
      </w:pPr>
    </w:p>
    <w:p w14:paraId="0DC4724F" w14:textId="77777777" w:rsidR="00CC529D" w:rsidRDefault="00CC529D" w:rsidP="008619EB">
      <w:pPr>
        <w:jc w:val="both"/>
        <w:rPr>
          <w:sz w:val="24"/>
          <w:szCs w:val="24"/>
          <w:lang w:val="en-US"/>
        </w:rPr>
      </w:pPr>
    </w:p>
    <w:sectPr w:rsidR="00CC529D" w:rsidSect="00176E57">
      <w:pgSz w:w="11906" w:h="16838"/>
      <w:pgMar w:top="142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348"/>
    <w:multiLevelType w:val="hybridMultilevel"/>
    <w:tmpl w:val="272E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3D39"/>
    <w:multiLevelType w:val="hybridMultilevel"/>
    <w:tmpl w:val="C90A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7B19"/>
    <w:multiLevelType w:val="hybridMultilevel"/>
    <w:tmpl w:val="354610F8"/>
    <w:lvl w:ilvl="0" w:tplc="7940034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13110"/>
    <w:multiLevelType w:val="hybridMultilevel"/>
    <w:tmpl w:val="85CC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E622A"/>
    <w:multiLevelType w:val="multilevel"/>
    <w:tmpl w:val="5B3C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4C"/>
    <w:rsid w:val="00012D65"/>
    <w:rsid w:val="00014E53"/>
    <w:rsid w:val="00017766"/>
    <w:rsid w:val="0003480C"/>
    <w:rsid w:val="000502FB"/>
    <w:rsid w:val="00054BE5"/>
    <w:rsid w:val="000870CD"/>
    <w:rsid w:val="00095303"/>
    <w:rsid w:val="000A0904"/>
    <w:rsid w:val="000B71CE"/>
    <w:rsid w:val="000C01AA"/>
    <w:rsid w:val="000C17BD"/>
    <w:rsid w:val="000C2BF1"/>
    <w:rsid w:val="000C692F"/>
    <w:rsid w:val="000C7F4E"/>
    <w:rsid w:val="000E236E"/>
    <w:rsid w:val="000F0FC0"/>
    <w:rsid w:val="000F1153"/>
    <w:rsid w:val="000F20F5"/>
    <w:rsid w:val="00102D3B"/>
    <w:rsid w:val="00104FA5"/>
    <w:rsid w:val="001127CE"/>
    <w:rsid w:val="00131F16"/>
    <w:rsid w:val="00132BCA"/>
    <w:rsid w:val="00133109"/>
    <w:rsid w:val="00133C4C"/>
    <w:rsid w:val="001365CA"/>
    <w:rsid w:val="00140D5B"/>
    <w:rsid w:val="001465CC"/>
    <w:rsid w:val="00151845"/>
    <w:rsid w:val="0015765D"/>
    <w:rsid w:val="00160610"/>
    <w:rsid w:val="0016406B"/>
    <w:rsid w:val="00164A2E"/>
    <w:rsid w:val="0017181F"/>
    <w:rsid w:val="00176E57"/>
    <w:rsid w:val="00177ABA"/>
    <w:rsid w:val="00194E6C"/>
    <w:rsid w:val="00197DB1"/>
    <w:rsid w:val="001A30CC"/>
    <w:rsid w:val="001A3193"/>
    <w:rsid w:val="001B0132"/>
    <w:rsid w:val="001B2F94"/>
    <w:rsid w:val="001B6B63"/>
    <w:rsid w:val="001C279E"/>
    <w:rsid w:val="001C3CC2"/>
    <w:rsid w:val="001D3574"/>
    <w:rsid w:val="001D3E53"/>
    <w:rsid w:val="001E1562"/>
    <w:rsid w:val="001E1F94"/>
    <w:rsid w:val="001E4FE0"/>
    <w:rsid w:val="001E61AF"/>
    <w:rsid w:val="001F7D5D"/>
    <w:rsid w:val="00205833"/>
    <w:rsid w:val="00213F12"/>
    <w:rsid w:val="00216771"/>
    <w:rsid w:val="0022796C"/>
    <w:rsid w:val="00241579"/>
    <w:rsid w:val="00246CF1"/>
    <w:rsid w:val="002530D6"/>
    <w:rsid w:val="00253FC8"/>
    <w:rsid w:val="00254264"/>
    <w:rsid w:val="0026591C"/>
    <w:rsid w:val="002760C0"/>
    <w:rsid w:val="00283443"/>
    <w:rsid w:val="00283F7A"/>
    <w:rsid w:val="00286099"/>
    <w:rsid w:val="00290A41"/>
    <w:rsid w:val="00291238"/>
    <w:rsid w:val="00295F41"/>
    <w:rsid w:val="00296949"/>
    <w:rsid w:val="002A224D"/>
    <w:rsid w:val="002C1EC2"/>
    <w:rsid w:val="002C302F"/>
    <w:rsid w:val="002C7ED5"/>
    <w:rsid w:val="002D0530"/>
    <w:rsid w:val="002D4DD5"/>
    <w:rsid w:val="002F0B09"/>
    <w:rsid w:val="002F2ABE"/>
    <w:rsid w:val="002F4EAE"/>
    <w:rsid w:val="00310653"/>
    <w:rsid w:val="00312E23"/>
    <w:rsid w:val="00314722"/>
    <w:rsid w:val="00315692"/>
    <w:rsid w:val="00320023"/>
    <w:rsid w:val="003433E9"/>
    <w:rsid w:val="00347249"/>
    <w:rsid w:val="003503DC"/>
    <w:rsid w:val="003525DE"/>
    <w:rsid w:val="00352C17"/>
    <w:rsid w:val="00355A38"/>
    <w:rsid w:val="00357B64"/>
    <w:rsid w:val="003673C1"/>
    <w:rsid w:val="00373059"/>
    <w:rsid w:val="003753F5"/>
    <w:rsid w:val="0037650C"/>
    <w:rsid w:val="00381671"/>
    <w:rsid w:val="00384584"/>
    <w:rsid w:val="003A30B8"/>
    <w:rsid w:val="003A7F0D"/>
    <w:rsid w:val="003B16D1"/>
    <w:rsid w:val="003C1BE3"/>
    <w:rsid w:val="003C50F7"/>
    <w:rsid w:val="003D08A6"/>
    <w:rsid w:val="003D2A50"/>
    <w:rsid w:val="003E3D5F"/>
    <w:rsid w:val="003F07D0"/>
    <w:rsid w:val="0040064D"/>
    <w:rsid w:val="004032B7"/>
    <w:rsid w:val="0040498E"/>
    <w:rsid w:val="00405F0D"/>
    <w:rsid w:val="0040740C"/>
    <w:rsid w:val="00410B3B"/>
    <w:rsid w:val="004166D9"/>
    <w:rsid w:val="004330CF"/>
    <w:rsid w:val="00437BFA"/>
    <w:rsid w:val="00440ACB"/>
    <w:rsid w:val="00447F82"/>
    <w:rsid w:val="0045219C"/>
    <w:rsid w:val="004542CA"/>
    <w:rsid w:val="00471D60"/>
    <w:rsid w:val="004A1685"/>
    <w:rsid w:val="004A561A"/>
    <w:rsid w:val="004A6CF5"/>
    <w:rsid w:val="004B1212"/>
    <w:rsid w:val="004B1D13"/>
    <w:rsid w:val="004C5D5E"/>
    <w:rsid w:val="004D3204"/>
    <w:rsid w:val="004E1743"/>
    <w:rsid w:val="004E5577"/>
    <w:rsid w:val="004E56B2"/>
    <w:rsid w:val="004E6577"/>
    <w:rsid w:val="00500CC9"/>
    <w:rsid w:val="00505A12"/>
    <w:rsid w:val="00507855"/>
    <w:rsid w:val="00511A56"/>
    <w:rsid w:val="00513585"/>
    <w:rsid w:val="00514335"/>
    <w:rsid w:val="0051615E"/>
    <w:rsid w:val="005250EC"/>
    <w:rsid w:val="0052775A"/>
    <w:rsid w:val="005279F5"/>
    <w:rsid w:val="005302CF"/>
    <w:rsid w:val="00535C0F"/>
    <w:rsid w:val="00544CC9"/>
    <w:rsid w:val="00570439"/>
    <w:rsid w:val="00582AD1"/>
    <w:rsid w:val="00582D89"/>
    <w:rsid w:val="00584A95"/>
    <w:rsid w:val="00587A8C"/>
    <w:rsid w:val="00590CD4"/>
    <w:rsid w:val="0059406C"/>
    <w:rsid w:val="00595A77"/>
    <w:rsid w:val="005A41F1"/>
    <w:rsid w:val="005B17C4"/>
    <w:rsid w:val="005B74ED"/>
    <w:rsid w:val="005C024E"/>
    <w:rsid w:val="005D4046"/>
    <w:rsid w:val="005E0C94"/>
    <w:rsid w:val="005F304B"/>
    <w:rsid w:val="006225F2"/>
    <w:rsid w:val="00630180"/>
    <w:rsid w:val="00631789"/>
    <w:rsid w:val="006335A3"/>
    <w:rsid w:val="006350B5"/>
    <w:rsid w:val="00640A2E"/>
    <w:rsid w:val="00640DBE"/>
    <w:rsid w:val="0065343C"/>
    <w:rsid w:val="00665FFB"/>
    <w:rsid w:val="00667C12"/>
    <w:rsid w:val="00670325"/>
    <w:rsid w:val="00674AD0"/>
    <w:rsid w:val="0067560D"/>
    <w:rsid w:val="00677610"/>
    <w:rsid w:val="006815F8"/>
    <w:rsid w:val="00695D10"/>
    <w:rsid w:val="006A3363"/>
    <w:rsid w:val="006B0FBB"/>
    <w:rsid w:val="006B7D24"/>
    <w:rsid w:val="006C0697"/>
    <w:rsid w:val="006C0CB6"/>
    <w:rsid w:val="006D56FB"/>
    <w:rsid w:val="006F4236"/>
    <w:rsid w:val="006F6A3E"/>
    <w:rsid w:val="006F7DCA"/>
    <w:rsid w:val="0071148E"/>
    <w:rsid w:val="0071341D"/>
    <w:rsid w:val="00714634"/>
    <w:rsid w:val="00717C80"/>
    <w:rsid w:val="00721968"/>
    <w:rsid w:val="00723907"/>
    <w:rsid w:val="00726458"/>
    <w:rsid w:val="00736142"/>
    <w:rsid w:val="00745809"/>
    <w:rsid w:val="00746602"/>
    <w:rsid w:val="00765662"/>
    <w:rsid w:val="00766856"/>
    <w:rsid w:val="0076706C"/>
    <w:rsid w:val="00776619"/>
    <w:rsid w:val="00787013"/>
    <w:rsid w:val="00792981"/>
    <w:rsid w:val="00793F8F"/>
    <w:rsid w:val="007944C6"/>
    <w:rsid w:val="007A43C8"/>
    <w:rsid w:val="007A5A53"/>
    <w:rsid w:val="007B3254"/>
    <w:rsid w:val="007C14B6"/>
    <w:rsid w:val="007C72D5"/>
    <w:rsid w:val="007D0FBC"/>
    <w:rsid w:val="007D106A"/>
    <w:rsid w:val="007D3DB3"/>
    <w:rsid w:val="007E2C46"/>
    <w:rsid w:val="007E4BEE"/>
    <w:rsid w:val="007F0C93"/>
    <w:rsid w:val="007F1DBC"/>
    <w:rsid w:val="007F74EF"/>
    <w:rsid w:val="00840A0D"/>
    <w:rsid w:val="00856A59"/>
    <w:rsid w:val="008619EB"/>
    <w:rsid w:val="00862046"/>
    <w:rsid w:val="008631BF"/>
    <w:rsid w:val="00864CD7"/>
    <w:rsid w:val="00870432"/>
    <w:rsid w:val="00870D25"/>
    <w:rsid w:val="00870F21"/>
    <w:rsid w:val="008879AF"/>
    <w:rsid w:val="00897502"/>
    <w:rsid w:val="008A5A9D"/>
    <w:rsid w:val="008B2B72"/>
    <w:rsid w:val="008B2FB3"/>
    <w:rsid w:val="008C72A0"/>
    <w:rsid w:val="008D4340"/>
    <w:rsid w:val="008E2C4D"/>
    <w:rsid w:val="008F35E1"/>
    <w:rsid w:val="008F6E3A"/>
    <w:rsid w:val="009007C6"/>
    <w:rsid w:val="00907E89"/>
    <w:rsid w:val="00927784"/>
    <w:rsid w:val="00942DB9"/>
    <w:rsid w:val="00945A06"/>
    <w:rsid w:val="00950C77"/>
    <w:rsid w:val="009510B9"/>
    <w:rsid w:val="009510D1"/>
    <w:rsid w:val="009578A3"/>
    <w:rsid w:val="00971D1F"/>
    <w:rsid w:val="00976E9B"/>
    <w:rsid w:val="009775E6"/>
    <w:rsid w:val="00986BC7"/>
    <w:rsid w:val="00996265"/>
    <w:rsid w:val="009A08FD"/>
    <w:rsid w:val="009A18E5"/>
    <w:rsid w:val="009A439D"/>
    <w:rsid w:val="009A78CA"/>
    <w:rsid w:val="009C3961"/>
    <w:rsid w:val="009D2C4A"/>
    <w:rsid w:val="009F20C1"/>
    <w:rsid w:val="00A05560"/>
    <w:rsid w:val="00A0768C"/>
    <w:rsid w:val="00A1015A"/>
    <w:rsid w:val="00A246C6"/>
    <w:rsid w:val="00A2478E"/>
    <w:rsid w:val="00A262FC"/>
    <w:rsid w:val="00A2797D"/>
    <w:rsid w:val="00A37634"/>
    <w:rsid w:val="00A46C15"/>
    <w:rsid w:val="00A544DF"/>
    <w:rsid w:val="00A56035"/>
    <w:rsid w:val="00A628DD"/>
    <w:rsid w:val="00A7378E"/>
    <w:rsid w:val="00A90B82"/>
    <w:rsid w:val="00A91B3E"/>
    <w:rsid w:val="00A93599"/>
    <w:rsid w:val="00AA26B5"/>
    <w:rsid w:val="00AA4DDA"/>
    <w:rsid w:val="00AB073A"/>
    <w:rsid w:val="00AB1290"/>
    <w:rsid w:val="00AB6B54"/>
    <w:rsid w:val="00AC0CD7"/>
    <w:rsid w:val="00AC21F2"/>
    <w:rsid w:val="00AC47EC"/>
    <w:rsid w:val="00AC4F9A"/>
    <w:rsid w:val="00AD667B"/>
    <w:rsid w:val="00AE4B2D"/>
    <w:rsid w:val="00B06F81"/>
    <w:rsid w:val="00B164F2"/>
    <w:rsid w:val="00B22B79"/>
    <w:rsid w:val="00B322D8"/>
    <w:rsid w:val="00B3237D"/>
    <w:rsid w:val="00B41576"/>
    <w:rsid w:val="00B61417"/>
    <w:rsid w:val="00B66C33"/>
    <w:rsid w:val="00B7185C"/>
    <w:rsid w:val="00B74646"/>
    <w:rsid w:val="00B875DD"/>
    <w:rsid w:val="00BC2709"/>
    <w:rsid w:val="00BC3B07"/>
    <w:rsid w:val="00BC56AA"/>
    <w:rsid w:val="00BC7512"/>
    <w:rsid w:val="00BD67F3"/>
    <w:rsid w:val="00BF6393"/>
    <w:rsid w:val="00BF7F90"/>
    <w:rsid w:val="00C03999"/>
    <w:rsid w:val="00C1066A"/>
    <w:rsid w:val="00C1617B"/>
    <w:rsid w:val="00C25843"/>
    <w:rsid w:val="00C25B25"/>
    <w:rsid w:val="00C2685C"/>
    <w:rsid w:val="00C26FD9"/>
    <w:rsid w:val="00C3378D"/>
    <w:rsid w:val="00C36653"/>
    <w:rsid w:val="00C446E3"/>
    <w:rsid w:val="00C447C9"/>
    <w:rsid w:val="00C53841"/>
    <w:rsid w:val="00C81043"/>
    <w:rsid w:val="00C82E5D"/>
    <w:rsid w:val="00C9049C"/>
    <w:rsid w:val="00CB49CB"/>
    <w:rsid w:val="00CC529D"/>
    <w:rsid w:val="00CD507F"/>
    <w:rsid w:val="00CE58B6"/>
    <w:rsid w:val="00CE6A4E"/>
    <w:rsid w:val="00D01184"/>
    <w:rsid w:val="00D06A2A"/>
    <w:rsid w:val="00D163C7"/>
    <w:rsid w:val="00D21115"/>
    <w:rsid w:val="00D26A03"/>
    <w:rsid w:val="00D3313A"/>
    <w:rsid w:val="00D36C26"/>
    <w:rsid w:val="00D42A58"/>
    <w:rsid w:val="00D540B7"/>
    <w:rsid w:val="00D60E4E"/>
    <w:rsid w:val="00D638AA"/>
    <w:rsid w:val="00D801D0"/>
    <w:rsid w:val="00D80663"/>
    <w:rsid w:val="00D81AA0"/>
    <w:rsid w:val="00D8200B"/>
    <w:rsid w:val="00DA255F"/>
    <w:rsid w:val="00DB11FF"/>
    <w:rsid w:val="00DC40F0"/>
    <w:rsid w:val="00DD70F0"/>
    <w:rsid w:val="00DE45BA"/>
    <w:rsid w:val="00DE7C43"/>
    <w:rsid w:val="00DF4EE9"/>
    <w:rsid w:val="00DF6E80"/>
    <w:rsid w:val="00E01CD1"/>
    <w:rsid w:val="00E151C3"/>
    <w:rsid w:val="00E215C6"/>
    <w:rsid w:val="00E23880"/>
    <w:rsid w:val="00E37B58"/>
    <w:rsid w:val="00E40951"/>
    <w:rsid w:val="00E43CB1"/>
    <w:rsid w:val="00E44361"/>
    <w:rsid w:val="00E47B48"/>
    <w:rsid w:val="00E521AB"/>
    <w:rsid w:val="00E62B9F"/>
    <w:rsid w:val="00E63A81"/>
    <w:rsid w:val="00E663D8"/>
    <w:rsid w:val="00E71CC9"/>
    <w:rsid w:val="00E73923"/>
    <w:rsid w:val="00EB02F6"/>
    <w:rsid w:val="00EB168B"/>
    <w:rsid w:val="00EC2DB1"/>
    <w:rsid w:val="00ED5378"/>
    <w:rsid w:val="00ED7A5A"/>
    <w:rsid w:val="00EF31EE"/>
    <w:rsid w:val="00EF60F6"/>
    <w:rsid w:val="00F0328D"/>
    <w:rsid w:val="00F069C5"/>
    <w:rsid w:val="00F160F6"/>
    <w:rsid w:val="00F21297"/>
    <w:rsid w:val="00F21939"/>
    <w:rsid w:val="00F24B56"/>
    <w:rsid w:val="00F2543D"/>
    <w:rsid w:val="00F342C2"/>
    <w:rsid w:val="00F35370"/>
    <w:rsid w:val="00F353C8"/>
    <w:rsid w:val="00F44D7F"/>
    <w:rsid w:val="00F52733"/>
    <w:rsid w:val="00F54048"/>
    <w:rsid w:val="00F651CB"/>
    <w:rsid w:val="00F73E38"/>
    <w:rsid w:val="00F824D0"/>
    <w:rsid w:val="00F82EDA"/>
    <w:rsid w:val="00F8340F"/>
    <w:rsid w:val="00F85119"/>
    <w:rsid w:val="00F903E6"/>
    <w:rsid w:val="00F96300"/>
    <w:rsid w:val="00FA165B"/>
    <w:rsid w:val="00FA1F61"/>
    <w:rsid w:val="00FA310C"/>
    <w:rsid w:val="00FC04E2"/>
    <w:rsid w:val="00FC5F2F"/>
    <w:rsid w:val="00FC6B7C"/>
    <w:rsid w:val="00FD365E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32F9"/>
  <w15:chartTrackingRefBased/>
  <w15:docId w15:val="{7DA77E46-A96C-495C-B608-0C07AF5F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50E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83F7A"/>
    <w:pPr>
      <w:ind w:left="720"/>
      <w:contextualSpacing/>
    </w:pPr>
  </w:style>
  <w:style w:type="character" w:styleId="a5">
    <w:name w:val="Emphasis"/>
    <w:uiPriority w:val="20"/>
    <w:qFormat/>
    <w:rsid w:val="00B61417"/>
    <w:rPr>
      <w:i/>
      <w:iCs/>
    </w:rPr>
  </w:style>
  <w:style w:type="table" w:styleId="a6">
    <w:name w:val="Table Grid"/>
    <w:basedOn w:val="a1"/>
    <w:uiPriority w:val="39"/>
    <w:rsid w:val="0052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7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F21939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6301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0180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30180"/>
    <w:rPr>
      <w:lang w:val="ru-RU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018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30180"/>
    <w:rPr>
      <w:b/>
      <w:bCs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C8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2E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6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4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0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55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522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65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06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05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71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10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056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78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91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26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3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50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63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56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86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62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50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75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03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99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15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380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30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384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01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405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104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610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83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626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19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696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48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726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71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756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527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758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703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847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725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87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77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904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45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952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418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956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80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986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8943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986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9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994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77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029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37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050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80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095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6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104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85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12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13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142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38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183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322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223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8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249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49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251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04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297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49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355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6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432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90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44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894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456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88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460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08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468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36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472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27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474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097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00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82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73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777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88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18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8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21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601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83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678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85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733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947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761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06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766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2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783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92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787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99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817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30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829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06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887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074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888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9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929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27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978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6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020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91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030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51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041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47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056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73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05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716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10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871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105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9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116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327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143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98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j.bmj.com/lookup/google-scholar?link_type=googlescholar&amp;gs_type=article&amp;author%5b0%5d=WHO&amp;title=WHO+coronavirus+(COVID-19)+dashboard.+Covid19.who.int&amp;publication_year=2021" TargetMode="External"/><Relationship Id="rId5" Type="http://schemas.openxmlformats.org/officeDocument/2006/relationships/hyperlink" Target="https://covid19.who.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3101</Words>
  <Characters>17677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20737</CharactersWithSpaces>
  <SharedDoc>false</SharedDoc>
  <HLinks>
    <vt:vector size="12" baseType="variant"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https://pmj.bmj.com/lookup/google-scholar?link_type=googlescholar&amp;gs_type=article&amp;author%5b0%5d=WHO&amp;title=WHO+coronavirus+(COVID-19)+dashboard.+Covid19.who.int&amp;publication_year=2021</vt:lpwstr>
      </vt:variant>
      <vt:variant>
        <vt:lpwstr/>
      </vt:variant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https://covid19.who.int/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Sadardinov</dc:creator>
  <cp:keywords/>
  <dc:description/>
  <cp:lastModifiedBy>Alexander Sadardinov</cp:lastModifiedBy>
  <cp:revision>26</cp:revision>
  <dcterms:created xsi:type="dcterms:W3CDTF">2022-09-06T22:05:00Z</dcterms:created>
  <dcterms:modified xsi:type="dcterms:W3CDTF">2022-09-30T20:42:00Z</dcterms:modified>
</cp:coreProperties>
</file>