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955D8" w14:textId="1A8BE4AB" w:rsidR="00397D56" w:rsidRDefault="00397D56" w:rsidP="00A31330">
      <w:pPr>
        <w:spacing w:after="0" w:line="480" w:lineRule="auto"/>
        <w:jc w:val="both"/>
        <w:rPr>
          <w:rFonts w:ascii="Times New Roman" w:hAnsi="Times New Roman" w:cs="Times New Roman"/>
          <w:bCs/>
          <w:sz w:val="24"/>
          <w:szCs w:val="24"/>
          <w:lang w:eastAsia="zh-CN"/>
        </w:rPr>
      </w:pPr>
      <w:bookmarkStart w:id="0" w:name="_Hlk146723548"/>
      <w:r w:rsidRPr="00397D56">
        <w:rPr>
          <w:rFonts w:ascii="Times New Roman" w:hAnsi="Times New Roman" w:cs="Times New Roman" w:hint="eastAsia"/>
          <w:bCs/>
          <w:sz w:val="24"/>
          <w:szCs w:val="24"/>
          <w:lang w:eastAsia="zh-CN"/>
        </w:rPr>
        <w:t xml:space="preserve">Case </w:t>
      </w:r>
      <w:r>
        <w:rPr>
          <w:rFonts w:ascii="Times New Roman" w:hAnsi="Times New Roman" w:cs="Times New Roman" w:hint="eastAsia"/>
          <w:bCs/>
          <w:sz w:val="24"/>
          <w:szCs w:val="24"/>
          <w:lang w:eastAsia="zh-CN"/>
        </w:rPr>
        <w:t>report</w:t>
      </w:r>
    </w:p>
    <w:p w14:paraId="536BA6E1" w14:textId="77777777" w:rsidR="00397D56" w:rsidRPr="00397D56" w:rsidRDefault="00397D56" w:rsidP="00A31330">
      <w:pPr>
        <w:spacing w:after="0" w:line="480" w:lineRule="auto"/>
        <w:jc w:val="both"/>
        <w:rPr>
          <w:rFonts w:ascii="Times New Roman" w:hAnsi="Times New Roman" w:cs="Times New Roman"/>
          <w:bCs/>
          <w:sz w:val="24"/>
          <w:szCs w:val="24"/>
          <w:lang w:eastAsia="zh-CN"/>
        </w:rPr>
      </w:pPr>
    </w:p>
    <w:p w14:paraId="4DBC756F" w14:textId="0076780C" w:rsidR="00CA61AB" w:rsidRDefault="00CA61AB" w:rsidP="00A31330">
      <w:pPr>
        <w:spacing w:after="0" w:line="480" w:lineRule="auto"/>
        <w:jc w:val="both"/>
        <w:rPr>
          <w:rFonts w:ascii="Times New Roman" w:hAnsi="Times New Roman" w:cs="Times New Roman"/>
          <w:b/>
          <w:bCs/>
          <w:sz w:val="24"/>
          <w:szCs w:val="24"/>
          <w:lang w:eastAsia="zh-CN"/>
        </w:rPr>
      </w:pPr>
      <w:r w:rsidRPr="00CA61AB">
        <w:rPr>
          <w:rFonts w:ascii="Times New Roman" w:hAnsi="Times New Roman" w:cs="Times New Roman"/>
          <w:b/>
          <w:bCs/>
          <w:sz w:val="24"/>
          <w:szCs w:val="24"/>
        </w:rPr>
        <w:t>Retrograde Intra Renal Surgery (RIRS): The most minimally invasive Stone surgery, its safety and efficacy in patient with Sickle Cell Anaemia. A case report and review of literature for the optimal peri-operative mana</w:t>
      </w:r>
      <w:r w:rsidR="00397D56">
        <w:rPr>
          <w:rFonts w:ascii="Times New Roman" w:hAnsi="Times New Roman" w:cs="Times New Roman"/>
          <w:b/>
          <w:bCs/>
          <w:sz w:val="24"/>
          <w:szCs w:val="24"/>
        </w:rPr>
        <w:t>gement in Sickle cell patients</w:t>
      </w:r>
    </w:p>
    <w:p w14:paraId="63EDD6E2"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71047B99" w14:textId="77777777" w:rsidR="00397D56" w:rsidRPr="00952937" w:rsidRDefault="00397D56" w:rsidP="00A31330">
      <w:pPr>
        <w:spacing w:after="0" w:line="480" w:lineRule="auto"/>
        <w:rPr>
          <w:rFonts w:ascii="Times New Roman" w:hAnsi="Times New Roman"/>
          <w:bCs/>
          <w:color w:val="000000"/>
          <w:sz w:val="24"/>
          <w:szCs w:val="24"/>
          <w:lang w:eastAsia="zh-CN"/>
        </w:rPr>
      </w:pPr>
      <w:r w:rsidRPr="00952937">
        <w:rPr>
          <w:rFonts w:ascii="Times New Roman" w:hAnsi="Times New Roman"/>
          <w:bCs/>
          <w:color w:val="000000"/>
          <w:sz w:val="24"/>
          <w:szCs w:val="24"/>
        </w:rPr>
        <w:t>J</w:t>
      </w:r>
      <w:r w:rsidRPr="00952937">
        <w:rPr>
          <w:rFonts w:ascii="Times New Roman" w:hAnsi="Times New Roman" w:hint="eastAsia"/>
          <w:bCs/>
          <w:color w:val="000000"/>
          <w:sz w:val="24"/>
          <w:szCs w:val="24"/>
          <w:lang w:eastAsia="zh-CN"/>
        </w:rPr>
        <w:t>ain</w:t>
      </w:r>
      <w:r w:rsidRPr="00952937">
        <w:rPr>
          <w:rFonts w:ascii="Times New Roman" w:hAnsi="Times New Roman"/>
          <w:bCs/>
          <w:color w:val="000000"/>
          <w:sz w:val="24"/>
          <w:szCs w:val="24"/>
        </w:rPr>
        <w:t xml:space="preserve"> R J</w:t>
      </w:r>
      <w:r w:rsidRPr="00397D56">
        <w:rPr>
          <w:rFonts w:ascii="Times New Roman" w:hAnsi="Times New Roman" w:hint="eastAsia"/>
          <w:bCs/>
          <w:noProof/>
          <w:color w:val="000000"/>
          <w:sz w:val="24"/>
          <w:szCs w:val="24"/>
          <w:vertAlign w:val="superscript"/>
          <w:lang w:val="en-US" w:eastAsia="zh-CN"/>
        </w:rPr>
        <w:t>1</w:t>
      </w:r>
      <w:r w:rsidRPr="00952937">
        <w:rPr>
          <w:rFonts w:ascii="Times New Roman" w:hAnsi="Times New Roman" w:hint="eastAsia"/>
          <w:bCs/>
          <w:color w:val="000000"/>
          <w:sz w:val="24"/>
          <w:szCs w:val="24"/>
          <w:lang w:eastAsia="zh-CN"/>
        </w:rPr>
        <w:t xml:space="preserve">, </w:t>
      </w:r>
      <w:proofErr w:type="spellStart"/>
      <w:r w:rsidRPr="00952937">
        <w:rPr>
          <w:rFonts w:ascii="Times New Roman" w:hAnsi="Times New Roman"/>
          <w:bCs/>
          <w:color w:val="000000"/>
          <w:sz w:val="24"/>
          <w:szCs w:val="24"/>
        </w:rPr>
        <w:t>D</w:t>
      </w:r>
      <w:r w:rsidRPr="00952937">
        <w:rPr>
          <w:rFonts w:ascii="Times New Roman" w:hAnsi="Times New Roman" w:hint="eastAsia"/>
          <w:bCs/>
          <w:color w:val="000000"/>
          <w:sz w:val="24"/>
          <w:szCs w:val="24"/>
          <w:lang w:eastAsia="zh-CN"/>
        </w:rPr>
        <w:t>hameliya</w:t>
      </w:r>
      <w:proofErr w:type="spellEnd"/>
      <w:r w:rsidRPr="00952937">
        <w:rPr>
          <w:rFonts w:ascii="Times New Roman" w:hAnsi="Times New Roman"/>
          <w:bCs/>
          <w:color w:val="000000"/>
          <w:sz w:val="24"/>
          <w:szCs w:val="24"/>
        </w:rPr>
        <w:t xml:space="preserve"> J</w:t>
      </w:r>
      <w:r w:rsidRPr="00397D56">
        <w:rPr>
          <w:rFonts w:ascii="Times New Roman" w:hAnsi="Times New Roman" w:hint="eastAsia"/>
          <w:bCs/>
          <w:noProof/>
          <w:color w:val="000000"/>
          <w:sz w:val="24"/>
          <w:szCs w:val="24"/>
          <w:vertAlign w:val="superscript"/>
          <w:lang w:val="en-US" w:eastAsia="zh-CN"/>
        </w:rPr>
        <w:t>1</w:t>
      </w:r>
      <w:r w:rsidRPr="00952937">
        <w:rPr>
          <w:rFonts w:ascii="Times New Roman" w:hAnsi="Times New Roman" w:hint="eastAsia"/>
          <w:bCs/>
          <w:color w:val="000000"/>
          <w:sz w:val="24"/>
          <w:szCs w:val="24"/>
          <w:lang w:eastAsia="zh-CN"/>
        </w:rPr>
        <w:t xml:space="preserve">, </w:t>
      </w:r>
      <w:proofErr w:type="spellStart"/>
      <w:r w:rsidRPr="00952937">
        <w:rPr>
          <w:rFonts w:ascii="Times New Roman" w:hAnsi="Times New Roman"/>
          <w:bCs/>
          <w:color w:val="000000"/>
          <w:sz w:val="24"/>
          <w:szCs w:val="24"/>
        </w:rPr>
        <w:t>B</w:t>
      </w:r>
      <w:r w:rsidRPr="00952937">
        <w:rPr>
          <w:rFonts w:ascii="Times New Roman" w:hAnsi="Times New Roman" w:hint="eastAsia"/>
          <w:bCs/>
          <w:color w:val="000000"/>
          <w:sz w:val="24"/>
          <w:szCs w:val="24"/>
          <w:lang w:eastAsia="zh-CN"/>
        </w:rPr>
        <w:t>rahmbhatt</w:t>
      </w:r>
      <w:proofErr w:type="spellEnd"/>
      <w:r w:rsidRPr="00952937">
        <w:rPr>
          <w:rFonts w:ascii="Times New Roman" w:hAnsi="Times New Roman"/>
          <w:bCs/>
          <w:color w:val="000000"/>
          <w:sz w:val="24"/>
          <w:szCs w:val="24"/>
        </w:rPr>
        <w:t xml:space="preserve"> H</w:t>
      </w:r>
      <w:r w:rsidRPr="00397D56">
        <w:rPr>
          <w:rFonts w:ascii="Times New Roman" w:hAnsi="Times New Roman" w:hint="eastAsia"/>
          <w:bCs/>
          <w:noProof/>
          <w:color w:val="000000"/>
          <w:sz w:val="24"/>
          <w:szCs w:val="24"/>
          <w:vertAlign w:val="superscript"/>
          <w:lang w:val="en-US" w:eastAsia="zh-CN"/>
        </w:rPr>
        <w:t>1</w:t>
      </w:r>
    </w:p>
    <w:p w14:paraId="5406A3AD" w14:textId="390DF981" w:rsidR="00397D56" w:rsidRDefault="00397D56" w:rsidP="00A31330">
      <w:pPr>
        <w:spacing w:after="0" w:line="480" w:lineRule="auto"/>
        <w:outlineLvl w:val="0"/>
        <w:rPr>
          <w:rFonts w:ascii="Times New Roman" w:hAnsi="Times New Roman"/>
          <w:bCs/>
          <w:noProof/>
          <w:color w:val="000000"/>
          <w:sz w:val="24"/>
          <w:szCs w:val="24"/>
          <w:lang w:val="en-US" w:eastAsia="zh-CN"/>
        </w:rPr>
      </w:pPr>
      <w:r w:rsidRPr="00397D56">
        <w:rPr>
          <w:rFonts w:ascii="Times New Roman" w:hAnsi="Times New Roman" w:hint="eastAsia"/>
          <w:bCs/>
          <w:noProof/>
          <w:color w:val="000000"/>
          <w:sz w:val="24"/>
          <w:szCs w:val="24"/>
          <w:vertAlign w:val="superscript"/>
          <w:lang w:val="en-US" w:eastAsia="zh-CN"/>
        </w:rPr>
        <w:t>1</w:t>
      </w:r>
      <w:r>
        <w:rPr>
          <w:rFonts w:ascii="Times New Roman" w:hAnsi="Times New Roman" w:hint="eastAsia"/>
          <w:bCs/>
          <w:noProof/>
          <w:color w:val="000000"/>
          <w:sz w:val="24"/>
          <w:szCs w:val="24"/>
          <w:lang w:val="en-US" w:eastAsia="zh-CN"/>
        </w:rPr>
        <w:t xml:space="preserve"> </w:t>
      </w:r>
      <w:r w:rsidRPr="00952937">
        <w:rPr>
          <w:rFonts w:ascii="Times New Roman" w:hAnsi="Times New Roman"/>
          <w:bCs/>
          <w:noProof/>
          <w:color w:val="000000"/>
          <w:sz w:val="24"/>
          <w:szCs w:val="24"/>
          <w:lang w:val="en-US"/>
        </w:rPr>
        <w:t>Department of Urology and Renal Transplantation,</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GCS Medical College and Research Centre,</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Asarwa, Ahmedabad, India.</w:t>
      </w:r>
      <w:r w:rsidRPr="00952937">
        <w:rPr>
          <w:rFonts w:ascii="Times New Roman" w:hAnsi="Times New Roman"/>
          <w:bCs/>
          <w:noProof/>
          <w:color w:val="000000"/>
          <w:sz w:val="24"/>
          <w:szCs w:val="24"/>
          <w:lang w:val="en-US"/>
        </w:rPr>
        <w:tab/>
      </w:r>
    </w:p>
    <w:p w14:paraId="42F65ADA" w14:textId="77777777" w:rsidR="00A31330" w:rsidRDefault="00A31330" w:rsidP="00A31330">
      <w:pPr>
        <w:spacing w:after="0" w:line="480" w:lineRule="auto"/>
        <w:outlineLvl w:val="0"/>
        <w:rPr>
          <w:rFonts w:ascii="Times New Roman" w:hAnsi="Times New Roman"/>
          <w:bCs/>
          <w:noProof/>
          <w:color w:val="000000"/>
          <w:sz w:val="24"/>
          <w:szCs w:val="24"/>
          <w:lang w:val="en-US" w:eastAsia="zh-CN"/>
        </w:rPr>
      </w:pPr>
    </w:p>
    <w:p w14:paraId="4D1A08AF" w14:textId="77777777" w:rsidR="007F1367" w:rsidRDefault="007F1367" w:rsidP="007F1367">
      <w:pPr>
        <w:spacing w:after="0" w:line="480" w:lineRule="auto"/>
        <w:outlineLvl w:val="0"/>
        <w:rPr>
          <w:rFonts w:ascii="Times New Roman" w:hAnsi="Times New Roman" w:hint="eastAsia"/>
          <w:bCs/>
          <w:noProof/>
          <w:color w:val="000000"/>
          <w:sz w:val="24"/>
          <w:szCs w:val="24"/>
          <w:lang w:val="en-US" w:eastAsia="zh-CN"/>
        </w:rPr>
      </w:pPr>
      <w:r w:rsidRPr="007F1367">
        <w:rPr>
          <w:rFonts w:ascii="Times New Roman" w:hAnsi="Times New Roman" w:hint="eastAsia"/>
          <w:b/>
          <w:noProof/>
          <w:color w:val="000000"/>
          <w:sz w:val="24"/>
          <w:szCs w:val="24"/>
          <w:lang w:val="en-US" w:eastAsia="zh-CN"/>
        </w:rPr>
        <w:t xml:space="preserve">Coresponding author: </w:t>
      </w:r>
      <w:r w:rsidRPr="00952937">
        <w:rPr>
          <w:rFonts w:ascii="Times New Roman" w:hAnsi="Times New Roman"/>
          <w:bCs/>
          <w:color w:val="000000"/>
          <w:sz w:val="24"/>
          <w:szCs w:val="24"/>
        </w:rPr>
        <w:t>J</w:t>
      </w:r>
      <w:r w:rsidRPr="00952937">
        <w:rPr>
          <w:rFonts w:ascii="Times New Roman" w:hAnsi="Times New Roman" w:hint="eastAsia"/>
          <w:bCs/>
          <w:color w:val="000000"/>
          <w:sz w:val="24"/>
          <w:szCs w:val="24"/>
          <w:lang w:eastAsia="zh-CN"/>
        </w:rPr>
        <w:t>ain</w:t>
      </w:r>
      <w:r w:rsidRPr="00952937">
        <w:rPr>
          <w:rFonts w:ascii="Times New Roman" w:hAnsi="Times New Roman"/>
          <w:bCs/>
          <w:color w:val="000000"/>
          <w:sz w:val="24"/>
          <w:szCs w:val="24"/>
        </w:rPr>
        <w:t xml:space="preserve"> R J</w:t>
      </w:r>
    </w:p>
    <w:p w14:paraId="1AC1F09F" w14:textId="7ACC0154" w:rsidR="007F1367" w:rsidRDefault="007F1367" w:rsidP="007F1367">
      <w:pPr>
        <w:spacing w:after="0" w:line="480" w:lineRule="auto"/>
        <w:outlineLvl w:val="0"/>
        <w:rPr>
          <w:rFonts w:ascii="Times New Roman" w:hAnsi="Times New Roman"/>
          <w:bCs/>
          <w:noProof/>
          <w:color w:val="000000"/>
          <w:sz w:val="24"/>
          <w:szCs w:val="24"/>
          <w:lang w:val="en-US" w:eastAsia="zh-CN"/>
        </w:rPr>
      </w:pPr>
      <w:bookmarkStart w:id="1" w:name="_GoBack"/>
      <w:bookmarkEnd w:id="1"/>
      <w:r>
        <w:rPr>
          <w:rFonts w:ascii="Times New Roman" w:hAnsi="Times New Roman" w:hint="eastAsia"/>
          <w:bCs/>
          <w:noProof/>
          <w:color w:val="000000"/>
          <w:sz w:val="24"/>
          <w:szCs w:val="24"/>
          <w:lang w:val="en-US" w:eastAsia="zh-CN"/>
        </w:rPr>
        <w:t xml:space="preserve">Mailing Address: </w:t>
      </w:r>
      <w:r w:rsidRPr="00952937">
        <w:rPr>
          <w:rFonts w:ascii="Times New Roman" w:hAnsi="Times New Roman"/>
          <w:bCs/>
          <w:noProof/>
          <w:color w:val="000000"/>
          <w:sz w:val="24"/>
          <w:szCs w:val="24"/>
          <w:lang w:val="en-US"/>
        </w:rPr>
        <w:t>Department of Urology and Renal Transplantation,</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GCS Medical College and Research Centre,</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Asarwa, Ahmedabad, India.</w:t>
      </w:r>
      <w:r w:rsidRPr="00952937">
        <w:rPr>
          <w:rFonts w:ascii="Times New Roman" w:hAnsi="Times New Roman"/>
          <w:bCs/>
          <w:noProof/>
          <w:color w:val="000000"/>
          <w:sz w:val="24"/>
          <w:szCs w:val="24"/>
          <w:lang w:val="en-US"/>
        </w:rPr>
        <w:tab/>
      </w:r>
    </w:p>
    <w:p w14:paraId="52C82955" w14:textId="54A6AE42" w:rsidR="00A31330" w:rsidRDefault="007F1367" w:rsidP="00A31330">
      <w:pPr>
        <w:spacing w:after="0" w:line="480" w:lineRule="auto"/>
        <w:outlineLvl w:val="0"/>
        <w:rPr>
          <w:rFonts w:ascii="Times New Roman" w:hAnsi="Times New Roman" w:hint="eastAsia"/>
          <w:noProof/>
          <w:color w:val="000000"/>
          <w:sz w:val="24"/>
          <w:szCs w:val="24"/>
          <w:lang w:val="en-US" w:eastAsia="zh-CN"/>
        </w:rPr>
      </w:pPr>
      <w:r>
        <w:rPr>
          <w:rFonts w:ascii="Times New Roman" w:hAnsi="Times New Roman" w:hint="eastAsia"/>
          <w:noProof/>
          <w:color w:val="000000"/>
          <w:sz w:val="24"/>
          <w:szCs w:val="24"/>
          <w:lang w:val="en-US" w:eastAsia="zh-CN"/>
        </w:rPr>
        <w:t xml:space="preserve">Email: </w:t>
      </w:r>
      <w:hyperlink r:id="rId9" w:history="1">
        <w:r w:rsidRPr="008249A5">
          <w:rPr>
            <w:rStyle w:val="a4"/>
            <w:rFonts w:ascii="Times New Roman" w:hAnsi="Times New Roman"/>
            <w:noProof/>
            <w:sz w:val="24"/>
            <w:szCs w:val="24"/>
            <w:lang w:val="en-US" w:eastAsia="zh-CN"/>
          </w:rPr>
          <w:t>ravijainy2k@gmail.com</w:t>
        </w:r>
      </w:hyperlink>
    </w:p>
    <w:p w14:paraId="6CA93DC5" w14:textId="77777777" w:rsidR="007F1367" w:rsidRPr="00952937" w:rsidRDefault="007F1367" w:rsidP="00A31330">
      <w:pPr>
        <w:spacing w:after="0" w:line="480" w:lineRule="auto"/>
        <w:outlineLvl w:val="0"/>
        <w:rPr>
          <w:rFonts w:ascii="Times New Roman" w:hAnsi="Times New Roman"/>
          <w:noProof/>
          <w:color w:val="000000"/>
          <w:sz w:val="24"/>
          <w:szCs w:val="24"/>
          <w:lang w:val="en-US" w:eastAsia="zh-CN"/>
        </w:rPr>
      </w:pPr>
    </w:p>
    <w:p w14:paraId="31862BDF" w14:textId="63C3E463" w:rsidR="00397D56" w:rsidRPr="00952937" w:rsidRDefault="00397D56" w:rsidP="00A31330">
      <w:pPr>
        <w:spacing w:after="0" w:line="480" w:lineRule="auto"/>
        <w:jc w:val="both"/>
        <w:rPr>
          <w:rFonts w:ascii="Times New Roman" w:hAnsi="Times New Roman" w:cs="Times New Roman"/>
          <w:sz w:val="24"/>
          <w:szCs w:val="24"/>
          <w:lang w:eastAsia="zh-CN"/>
        </w:rPr>
      </w:pPr>
      <w:proofErr w:type="spellStart"/>
      <w:r w:rsidRPr="00952937">
        <w:rPr>
          <w:rFonts w:ascii="Times New Roman" w:hAnsi="Times New Roman" w:cs="Times New Roman"/>
          <w:b/>
          <w:bCs/>
          <w:sz w:val="24"/>
          <w:szCs w:val="24"/>
        </w:rPr>
        <w:t>A</w:t>
      </w:r>
      <w:r w:rsidR="00A31330">
        <w:rPr>
          <w:rFonts w:ascii="Times New Roman" w:hAnsi="Times New Roman" w:cs="Times New Roman" w:hint="eastAsia"/>
          <w:b/>
          <w:bCs/>
          <w:sz w:val="24"/>
          <w:szCs w:val="24"/>
          <w:lang w:eastAsia="zh-CN"/>
        </w:rPr>
        <w:t>sstract</w:t>
      </w:r>
      <w:proofErr w:type="spellEnd"/>
    </w:p>
    <w:p w14:paraId="034DDA1D" w14:textId="77777777" w:rsidR="00397D56" w:rsidRPr="00952937" w:rsidRDefault="00397D56" w:rsidP="00A31330">
      <w:pPr>
        <w:spacing w:after="0" w:line="480" w:lineRule="auto"/>
        <w:jc w:val="both"/>
        <w:rPr>
          <w:rFonts w:ascii="Times New Roman" w:hAnsi="Times New Roman" w:cs="Times New Roman"/>
          <w:sz w:val="24"/>
          <w:szCs w:val="24"/>
        </w:rPr>
      </w:pPr>
      <w:r w:rsidRPr="00952937">
        <w:rPr>
          <w:rFonts w:ascii="Times New Roman" w:hAnsi="Times New Roman" w:cs="Times New Roman"/>
          <w:sz w:val="24"/>
          <w:szCs w:val="24"/>
        </w:rPr>
        <w:t xml:space="preserve">Sickle Cell Anaemia is a genetic haematological disorder, characterised by repeated haemolytic and </w:t>
      </w:r>
      <w:proofErr w:type="spellStart"/>
      <w:r w:rsidRPr="00952937">
        <w:rPr>
          <w:rFonts w:ascii="Times New Roman" w:hAnsi="Times New Roman" w:cs="Times New Roman"/>
          <w:sz w:val="24"/>
          <w:szCs w:val="24"/>
        </w:rPr>
        <w:t>vaso</w:t>
      </w:r>
      <w:proofErr w:type="spellEnd"/>
      <w:r w:rsidRPr="00952937">
        <w:rPr>
          <w:rFonts w:ascii="Times New Roman" w:hAnsi="Times New Roman" w:cs="Times New Roman"/>
          <w:sz w:val="24"/>
          <w:szCs w:val="24"/>
        </w:rPr>
        <w:t xml:space="preserve">-occlusive episodes. Kidney stones are common in India. The optimal management depends on stone related factors (stone burden, location, hardness, degree of </w:t>
      </w:r>
      <w:proofErr w:type="spellStart"/>
      <w:r w:rsidRPr="00952937">
        <w:rPr>
          <w:rFonts w:ascii="Times New Roman" w:hAnsi="Times New Roman" w:cs="Times New Roman"/>
          <w:sz w:val="24"/>
          <w:szCs w:val="24"/>
        </w:rPr>
        <w:t>hydronephrosis</w:t>
      </w:r>
      <w:proofErr w:type="spellEnd"/>
      <w:r w:rsidRPr="00952937">
        <w:rPr>
          <w:rFonts w:ascii="Times New Roman" w:hAnsi="Times New Roman" w:cs="Times New Roman"/>
          <w:sz w:val="24"/>
          <w:szCs w:val="24"/>
        </w:rPr>
        <w:t xml:space="preserve">) and patient related factors. Surgery in patients with bleeding disorders can be challenging. Among various modalities, Retrograde Intra Renal Surgery (RIRS) is the most minimally invasive modality for upper tract calculi due to the least risk of bleeding. Our patient presented with 13 x 12 mm upper ureteric calculus with </w:t>
      </w:r>
      <w:proofErr w:type="spellStart"/>
      <w:r w:rsidRPr="00952937">
        <w:rPr>
          <w:rFonts w:ascii="Times New Roman" w:hAnsi="Times New Roman" w:cs="Times New Roman"/>
          <w:sz w:val="24"/>
          <w:szCs w:val="24"/>
        </w:rPr>
        <w:t>hydronephrosis</w:t>
      </w:r>
      <w:proofErr w:type="spellEnd"/>
      <w:r w:rsidRPr="00952937">
        <w:rPr>
          <w:rFonts w:ascii="Times New Roman" w:hAnsi="Times New Roman" w:cs="Times New Roman"/>
          <w:sz w:val="24"/>
          <w:szCs w:val="24"/>
        </w:rPr>
        <w:t xml:space="preserve">. During pre-operative work up, he was diagnosed with Sickle Cell Anaemia. With RIRS, complete stone clearance was achieved. No post-operative complication such as bleeding, </w:t>
      </w:r>
      <w:proofErr w:type="spellStart"/>
      <w:r w:rsidRPr="00952937">
        <w:rPr>
          <w:rFonts w:ascii="Times New Roman" w:hAnsi="Times New Roman" w:cs="Times New Roman"/>
          <w:sz w:val="24"/>
          <w:szCs w:val="24"/>
        </w:rPr>
        <w:t>urosepsis</w:t>
      </w:r>
      <w:proofErr w:type="spellEnd"/>
      <w:r w:rsidRPr="00952937">
        <w:rPr>
          <w:rFonts w:ascii="Times New Roman" w:hAnsi="Times New Roman" w:cs="Times New Roman"/>
          <w:sz w:val="24"/>
          <w:szCs w:val="24"/>
        </w:rPr>
        <w:t xml:space="preserve">, sickling </w:t>
      </w:r>
      <w:r w:rsidRPr="00952937">
        <w:rPr>
          <w:rFonts w:ascii="Times New Roman" w:hAnsi="Times New Roman" w:cs="Times New Roman"/>
          <w:sz w:val="24"/>
          <w:szCs w:val="24"/>
        </w:rPr>
        <w:lastRenderedPageBreak/>
        <w:t xml:space="preserve">crisis, renal infarction was noted. Till date, there is no reported case of RIRS for stone in Sickle Cell Anaemia patients. We aim to report this case and review the literature for the ideal </w:t>
      </w:r>
      <w:proofErr w:type="spellStart"/>
      <w:r w:rsidRPr="00952937">
        <w:rPr>
          <w:rFonts w:ascii="Times New Roman" w:hAnsi="Times New Roman" w:cs="Times New Roman"/>
          <w:sz w:val="24"/>
          <w:szCs w:val="24"/>
        </w:rPr>
        <w:t>peri</w:t>
      </w:r>
      <w:proofErr w:type="spellEnd"/>
      <w:r w:rsidRPr="00952937">
        <w:rPr>
          <w:rFonts w:ascii="Times New Roman" w:hAnsi="Times New Roman" w:cs="Times New Roman"/>
          <w:sz w:val="24"/>
          <w:szCs w:val="24"/>
        </w:rPr>
        <w:t xml:space="preserve">-operative management. </w:t>
      </w:r>
    </w:p>
    <w:p w14:paraId="5BE82552" w14:textId="77777777" w:rsidR="00397D56" w:rsidRPr="00397D56" w:rsidRDefault="00397D56" w:rsidP="00A31330">
      <w:pPr>
        <w:spacing w:after="0" w:line="480" w:lineRule="auto"/>
        <w:jc w:val="both"/>
        <w:rPr>
          <w:rFonts w:ascii="Times New Roman" w:hAnsi="Times New Roman" w:cs="Times New Roman"/>
          <w:b/>
          <w:bCs/>
          <w:sz w:val="24"/>
          <w:szCs w:val="24"/>
          <w:lang w:eastAsia="zh-CN"/>
        </w:rPr>
      </w:pPr>
    </w:p>
    <w:bookmarkEnd w:id="0"/>
    <w:p w14:paraId="2C336C53" w14:textId="31B6A3FB" w:rsidR="0083138F" w:rsidRPr="00CA61AB" w:rsidRDefault="00CA61AB" w:rsidP="00A31330">
      <w:pPr>
        <w:spacing w:after="0" w:line="480" w:lineRule="auto"/>
        <w:jc w:val="both"/>
        <w:rPr>
          <w:rFonts w:ascii="Times New Roman" w:hAnsi="Times New Roman" w:cs="Times New Roman"/>
          <w:b/>
          <w:bCs/>
          <w:sz w:val="24"/>
          <w:szCs w:val="24"/>
          <w:lang w:eastAsia="zh-CN"/>
        </w:rPr>
      </w:pPr>
      <w:r w:rsidRPr="00CA61AB">
        <w:rPr>
          <w:rFonts w:ascii="Times New Roman" w:hAnsi="Times New Roman" w:cs="Times New Roman"/>
          <w:b/>
          <w:bCs/>
          <w:sz w:val="24"/>
          <w:szCs w:val="24"/>
        </w:rPr>
        <w:t>I</w:t>
      </w:r>
      <w:r w:rsidR="00A31330">
        <w:rPr>
          <w:rFonts w:ascii="Times New Roman" w:hAnsi="Times New Roman" w:cs="Times New Roman" w:hint="eastAsia"/>
          <w:b/>
          <w:bCs/>
          <w:sz w:val="24"/>
          <w:szCs w:val="24"/>
          <w:lang w:eastAsia="zh-CN"/>
        </w:rPr>
        <w:t>ntroduction</w:t>
      </w:r>
    </w:p>
    <w:p w14:paraId="729C5639" w14:textId="69EC2FF0" w:rsidR="00CA61AB" w:rsidRDefault="00CA61AB" w:rsidP="00A31330">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Sickle Cell Disease (SCD) is the most common genetically inherited haematological disorder. Sickle Cell Anaemia (SCA) represents the most severe form of SCD due to its renal manifestations. It is characterised by the m</w:t>
      </w:r>
      <w:r w:rsidRPr="00CA61AB">
        <w:rPr>
          <w:rFonts w:ascii="Times New Roman" w:hAnsi="Times New Roman" w:cs="Times New Roman"/>
          <w:sz w:val="24"/>
          <w:szCs w:val="24"/>
        </w:rPr>
        <w:t>utant sickle β-globin result</w:t>
      </w:r>
      <w:r>
        <w:rPr>
          <w:rFonts w:ascii="Times New Roman" w:hAnsi="Times New Roman" w:cs="Times New Roman"/>
          <w:sz w:val="24"/>
          <w:szCs w:val="24"/>
        </w:rPr>
        <w:t>ing</w:t>
      </w:r>
      <w:r w:rsidRPr="00CA61AB">
        <w:rPr>
          <w:rFonts w:ascii="Times New Roman" w:hAnsi="Times New Roman" w:cs="Times New Roman"/>
          <w:sz w:val="24"/>
          <w:szCs w:val="24"/>
        </w:rPr>
        <w:t xml:space="preserve"> from </w:t>
      </w:r>
      <w:r w:rsidR="00673EAD">
        <w:rPr>
          <w:rFonts w:ascii="Times New Roman" w:hAnsi="Times New Roman" w:cs="Times New Roman"/>
          <w:sz w:val="24"/>
          <w:szCs w:val="24"/>
        </w:rPr>
        <w:t>replacement</w:t>
      </w:r>
      <w:r w:rsidRPr="00CA61AB">
        <w:rPr>
          <w:rFonts w:ascii="Times New Roman" w:hAnsi="Times New Roman" w:cs="Times New Roman"/>
          <w:sz w:val="24"/>
          <w:szCs w:val="24"/>
        </w:rPr>
        <w:t xml:space="preserve"> of valine for glutamic acid at sixth amino</w:t>
      </w:r>
      <w:r>
        <w:rPr>
          <w:rFonts w:ascii="Times New Roman" w:hAnsi="Times New Roman" w:cs="Times New Roman"/>
          <w:sz w:val="24"/>
          <w:szCs w:val="24"/>
        </w:rPr>
        <w:t xml:space="preserve"> </w:t>
      </w:r>
      <w:r w:rsidRPr="00CA61AB">
        <w:rPr>
          <w:rFonts w:ascii="Times New Roman" w:hAnsi="Times New Roman" w:cs="Times New Roman"/>
          <w:sz w:val="24"/>
          <w:szCs w:val="24"/>
        </w:rPr>
        <w:t>acid</w:t>
      </w:r>
      <w:r>
        <w:rPr>
          <w:rFonts w:ascii="Times New Roman" w:hAnsi="Times New Roman" w:cs="Times New Roman"/>
          <w:sz w:val="24"/>
          <w:szCs w:val="24"/>
        </w:rPr>
        <w:t xml:space="preserve"> position</w:t>
      </w:r>
      <w:r w:rsidRPr="00CA61AB">
        <w:rPr>
          <w:rFonts w:ascii="Times New Roman" w:hAnsi="Times New Roman" w:cs="Times New Roman"/>
          <w:sz w:val="24"/>
          <w:szCs w:val="24"/>
        </w:rPr>
        <w:t xml:space="preserve">. </w:t>
      </w:r>
      <w:r>
        <w:rPr>
          <w:rFonts w:ascii="Times New Roman" w:hAnsi="Times New Roman" w:cs="Times New Roman"/>
          <w:sz w:val="24"/>
          <w:szCs w:val="24"/>
        </w:rPr>
        <w:t>Sickle Cell Haemoglobin (</w:t>
      </w:r>
      <w:r w:rsidRPr="00CA61AB">
        <w:rPr>
          <w:rFonts w:ascii="Times New Roman" w:hAnsi="Times New Roman" w:cs="Times New Roman"/>
          <w:sz w:val="24"/>
          <w:szCs w:val="24"/>
        </w:rPr>
        <w:t>HbS</w:t>
      </w:r>
      <w:r>
        <w:rPr>
          <w:rFonts w:ascii="Times New Roman" w:hAnsi="Times New Roman" w:cs="Times New Roman"/>
          <w:sz w:val="24"/>
          <w:szCs w:val="24"/>
        </w:rPr>
        <w:t>)</w:t>
      </w:r>
      <w:r w:rsidRPr="00CA61AB">
        <w:rPr>
          <w:rFonts w:ascii="Times New Roman" w:hAnsi="Times New Roman" w:cs="Times New Roman"/>
          <w:sz w:val="24"/>
          <w:szCs w:val="24"/>
        </w:rPr>
        <w:t xml:space="preserve"> polymerizes when the concentration of its deoxygenated form (deoxyHbS) exceeds </w:t>
      </w:r>
      <w:r>
        <w:rPr>
          <w:rFonts w:ascii="Times New Roman" w:hAnsi="Times New Roman" w:cs="Times New Roman"/>
          <w:sz w:val="24"/>
          <w:szCs w:val="24"/>
        </w:rPr>
        <w:t>resulting in vaso-occlusive crisis and repeated haemolytic episodes.</w:t>
      </w:r>
      <w:r w:rsidR="00331E7B" w:rsidRPr="00331E7B">
        <w:rPr>
          <w:rFonts w:ascii="Times New Roman" w:hAnsi="Times New Roman" w:cs="Times New Roman"/>
          <w:sz w:val="24"/>
          <w:szCs w:val="24"/>
          <w:vertAlign w:val="superscript"/>
        </w:rPr>
        <w:t xml:space="preserve">1 </w:t>
      </w:r>
      <w:r w:rsidR="00331E7B">
        <w:rPr>
          <w:rFonts w:ascii="Times New Roman" w:hAnsi="Times New Roman" w:cs="Times New Roman"/>
          <w:sz w:val="24"/>
          <w:szCs w:val="24"/>
        </w:rPr>
        <w:t xml:space="preserve">Sickling of Red Blood Cells (RBC) can cause clumping and early destruction of RBC. Sickle Cell Nephropathy can cause myriad of complications such as </w:t>
      </w:r>
      <w:r w:rsidR="00331E7B" w:rsidRPr="00331E7B">
        <w:rPr>
          <w:rFonts w:ascii="Times New Roman" w:hAnsi="Times New Roman" w:cs="Times New Roman"/>
          <w:sz w:val="24"/>
          <w:szCs w:val="24"/>
        </w:rPr>
        <w:t>h</w:t>
      </w:r>
      <w:r w:rsidR="00673EAD">
        <w:rPr>
          <w:rFonts w:ascii="Times New Roman" w:hAnsi="Times New Roman" w:cs="Times New Roman"/>
          <w:sz w:val="24"/>
          <w:szCs w:val="24"/>
        </w:rPr>
        <w:t>a</w:t>
      </w:r>
      <w:r w:rsidR="00331E7B" w:rsidRPr="00331E7B">
        <w:rPr>
          <w:rFonts w:ascii="Times New Roman" w:hAnsi="Times New Roman" w:cs="Times New Roman"/>
          <w:sz w:val="24"/>
          <w:szCs w:val="24"/>
        </w:rPr>
        <w:t>ematuria, proteinuria, renal papillary necrosis, renal tubular disorders, acute and chronic kidney injury, sickle cell glomerulopathy, renal medullary carcinoma</w:t>
      </w:r>
      <w:r w:rsidR="00331E7B">
        <w:rPr>
          <w:rFonts w:ascii="Times New Roman" w:hAnsi="Times New Roman" w:cs="Times New Roman"/>
          <w:sz w:val="24"/>
          <w:szCs w:val="24"/>
        </w:rPr>
        <w:t xml:space="preserve"> etc. </w:t>
      </w:r>
      <w:r w:rsidR="00331E7B" w:rsidRPr="00331E7B">
        <w:rPr>
          <w:rFonts w:ascii="Times New Roman" w:hAnsi="Times New Roman" w:cs="Times New Roman"/>
          <w:sz w:val="24"/>
          <w:szCs w:val="24"/>
          <w:vertAlign w:val="superscript"/>
        </w:rPr>
        <w:t xml:space="preserve">2 </w:t>
      </w:r>
    </w:p>
    <w:p w14:paraId="0430E9C8" w14:textId="24F7E90C" w:rsidR="00673EAD" w:rsidRDefault="00653A50" w:rsidP="00A3133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Kidney stones is</w:t>
      </w:r>
      <w:proofErr w:type="gramEnd"/>
      <w:r>
        <w:rPr>
          <w:rFonts w:ascii="Times New Roman" w:hAnsi="Times New Roman" w:cs="Times New Roman"/>
          <w:sz w:val="24"/>
          <w:szCs w:val="24"/>
        </w:rPr>
        <w:t xml:space="preserve"> a common global urological problem, especially in India. Various modalities exist for the optimal management of upper tract calculi such as Extra Corporeal Shock Wave Lithotripsy (ESWL), Percutaneous Nephrolitho</w:t>
      </w:r>
      <w:r w:rsidR="00EA29B2">
        <w:rPr>
          <w:rFonts w:ascii="Times New Roman" w:hAnsi="Times New Roman" w:cs="Times New Roman"/>
          <w:sz w:val="24"/>
          <w:szCs w:val="24"/>
        </w:rPr>
        <w:t xml:space="preserve">tomy </w:t>
      </w:r>
      <w:r>
        <w:rPr>
          <w:rFonts w:ascii="Times New Roman" w:hAnsi="Times New Roman" w:cs="Times New Roman"/>
          <w:sz w:val="24"/>
          <w:szCs w:val="24"/>
        </w:rPr>
        <w:t xml:space="preserve">(PCNL), Mini PCNL </w:t>
      </w:r>
      <w:r w:rsidR="00EA29B2">
        <w:rPr>
          <w:rFonts w:ascii="Times New Roman" w:hAnsi="Times New Roman" w:cs="Times New Roman"/>
          <w:sz w:val="24"/>
          <w:szCs w:val="24"/>
        </w:rPr>
        <w:t xml:space="preserve">(MPCNL) </w:t>
      </w:r>
      <w:r>
        <w:rPr>
          <w:rFonts w:ascii="Times New Roman" w:hAnsi="Times New Roman" w:cs="Times New Roman"/>
          <w:sz w:val="24"/>
          <w:szCs w:val="24"/>
        </w:rPr>
        <w:t xml:space="preserve">and Retrograde Intra Renal Surgery (RIRS). The existing literature </w:t>
      </w:r>
      <w:r w:rsidR="00B77F4D">
        <w:rPr>
          <w:rFonts w:ascii="Times New Roman" w:hAnsi="Times New Roman" w:cs="Times New Roman"/>
          <w:sz w:val="24"/>
          <w:szCs w:val="24"/>
        </w:rPr>
        <w:t>shows that RIRS has the least risk of bleeding as compared to MPCNL.</w:t>
      </w:r>
      <w:r w:rsidR="00B77F4D" w:rsidRPr="00673EAD">
        <w:rPr>
          <w:rFonts w:ascii="Times New Roman" w:hAnsi="Times New Roman" w:cs="Times New Roman"/>
          <w:sz w:val="24"/>
          <w:szCs w:val="24"/>
          <w:vertAlign w:val="superscript"/>
        </w:rPr>
        <w:t xml:space="preserve"> </w:t>
      </w:r>
      <w:r w:rsidR="00F25E89">
        <w:rPr>
          <w:rFonts w:ascii="Times New Roman" w:hAnsi="Times New Roman" w:cs="Times New Roman"/>
          <w:sz w:val="24"/>
          <w:szCs w:val="24"/>
          <w:vertAlign w:val="superscript"/>
        </w:rPr>
        <w:t xml:space="preserve">7 </w:t>
      </w:r>
      <w:r w:rsidR="00EA29B2">
        <w:rPr>
          <w:rFonts w:ascii="Times New Roman" w:hAnsi="Times New Roman" w:cs="Times New Roman"/>
          <w:sz w:val="24"/>
          <w:szCs w:val="24"/>
        </w:rPr>
        <w:t xml:space="preserve">Bleeding, dehydration, hypoxia etc. can trigger the sickling crisis and need to be avoided in SCA patients. </w:t>
      </w:r>
      <w:r w:rsidR="00EB513E">
        <w:rPr>
          <w:rFonts w:ascii="Times New Roman" w:hAnsi="Times New Roman" w:cs="Times New Roman"/>
          <w:sz w:val="24"/>
          <w:szCs w:val="24"/>
        </w:rPr>
        <w:t xml:space="preserve">Till date, RIRS for stone management in SCA patient is not reported in literature. </w:t>
      </w:r>
    </w:p>
    <w:p w14:paraId="0D8A0B0D" w14:textId="77777777" w:rsidR="00673EAD" w:rsidRDefault="00673EAD" w:rsidP="00A313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BE5A896" w14:textId="04CE09DD" w:rsidR="00653A50" w:rsidRPr="0041407F" w:rsidRDefault="00A31330"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rPr>
        <w:lastRenderedPageBreak/>
        <w:t>C</w:t>
      </w:r>
      <w:r>
        <w:rPr>
          <w:rFonts w:ascii="Times New Roman" w:hAnsi="Times New Roman" w:cs="Times New Roman" w:hint="eastAsia"/>
          <w:b/>
          <w:bCs/>
          <w:sz w:val="24"/>
          <w:szCs w:val="24"/>
          <w:lang w:eastAsia="zh-CN"/>
        </w:rPr>
        <w:t>ase history</w:t>
      </w:r>
    </w:p>
    <w:p w14:paraId="61CB4D0F" w14:textId="00ECBACD" w:rsidR="00673EAD" w:rsidRDefault="00673EAD" w:rsidP="00A31330">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rPr>
        <w:t>A 45-year-old gentleman presented with right flank pain, haematuria and dysuria for 2 months. On evaluation, he was found to have a</w:t>
      </w:r>
      <w:r w:rsidR="00A74CCC">
        <w:rPr>
          <w:rFonts w:ascii="Times New Roman" w:hAnsi="Times New Roman" w:cs="Times New Roman"/>
          <w:sz w:val="24"/>
          <w:szCs w:val="24"/>
        </w:rPr>
        <w:t>n impacted and hard 15x13 mm upper ureteric stone (Hounsfield value 1400 HU)</w:t>
      </w:r>
      <w:r w:rsidR="003773E0">
        <w:rPr>
          <w:rFonts w:ascii="Times New Roman" w:hAnsi="Times New Roman" w:cs="Times New Roman"/>
          <w:sz w:val="24"/>
          <w:szCs w:val="24"/>
        </w:rPr>
        <w:t>, just distal to the Pelvi-Ureter Junction (PUJ)</w:t>
      </w:r>
      <w:r w:rsidR="00A74CCC">
        <w:rPr>
          <w:rFonts w:ascii="Times New Roman" w:hAnsi="Times New Roman" w:cs="Times New Roman"/>
          <w:sz w:val="24"/>
          <w:szCs w:val="24"/>
        </w:rPr>
        <w:t xml:space="preserve">. His blood investigations revealed anaemia with Haemoglobin 7gm/dL. Rest investigations were normal. </w:t>
      </w:r>
      <w:r w:rsidR="003773E0">
        <w:rPr>
          <w:rFonts w:ascii="Times New Roman" w:hAnsi="Times New Roman" w:cs="Times New Roman"/>
          <w:sz w:val="24"/>
          <w:szCs w:val="24"/>
        </w:rPr>
        <w:t xml:space="preserve">Urine culture was sterile. </w:t>
      </w:r>
      <w:r w:rsidR="00A74CCC">
        <w:rPr>
          <w:rFonts w:ascii="Times New Roman" w:hAnsi="Times New Roman" w:cs="Times New Roman"/>
          <w:sz w:val="24"/>
          <w:szCs w:val="24"/>
        </w:rPr>
        <w:t>Haematologist opinion was taken and on Haemoglobin electrophoresis, he was diagnosed with Sickle Cell Anaemia (</w:t>
      </w:r>
      <w:r w:rsidR="00397D56">
        <w:rPr>
          <w:rFonts w:ascii="Times New Roman" w:hAnsi="Times New Roman" w:cs="Times New Roman" w:hint="eastAsia"/>
          <w:sz w:val="24"/>
          <w:szCs w:val="24"/>
          <w:lang w:eastAsia="zh-CN"/>
        </w:rPr>
        <w:t>Figure</w:t>
      </w:r>
      <w:r w:rsidR="00A74CCC">
        <w:rPr>
          <w:rFonts w:ascii="Times New Roman" w:hAnsi="Times New Roman" w:cs="Times New Roman"/>
          <w:sz w:val="24"/>
          <w:szCs w:val="24"/>
        </w:rPr>
        <w:t xml:space="preserve"> 1). Under expert Haematologist guidance, the patient was transfused with 1 unit of Packed Cell Volume (PCV) and the patient was pre-stented. 2 weeks later, pre-operative Hb was 9 gm/dL and he was planned for RIRS.   </w:t>
      </w:r>
    </w:p>
    <w:p w14:paraId="7F50033A" w14:textId="3F673898" w:rsidR="00397D56" w:rsidRDefault="007F1367" w:rsidP="00A31330">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pict w14:anchorId="18CE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351pt">
            <v:imagedata r:id="rId10" o:title="image 1"/>
          </v:shape>
        </w:pict>
      </w:r>
    </w:p>
    <w:p w14:paraId="485FA726" w14:textId="2EDE9253" w:rsidR="00397D56" w:rsidRPr="00397D56" w:rsidRDefault="00397D56" w:rsidP="00A31330">
      <w:pPr>
        <w:spacing w:after="0" w:line="480" w:lineRule="auto"/>
        <w:jc w:val="both"/>
        <w:rPr>
          <w:rFonts w:ascii="Times New Roman" w:hAnsi="Times New Roman" w:cs="Times New Roman"/>
          <w:b/>
          <w:sz w:val="24"/>
          <w:szCs w:val="24"/>
          <w:lang w:eastAsia="zh-CN"/>
        </w:rPr>
      </w:pPr>
      <w:r w:rsidRPr="00397D56">
        <w:rPr>
          <w:rFonts w:ascii="Times New Roman" w:hAnsi="Times New Roman" w:cs="Times New Roman" w:hint="eastAsia"/>
          <w:b/>
          <w:sz w:val="24"/>
          <w:szCs w:val="24"/>
          <w:lang w:eastAsia="zh-CN"/>
        </w:rPr>
        <w:t>Figure 1</w:t>
      </w:r>
    </w:p>
    <w:p w14:paraId="15FD7068" w14:textId="6E40D83A" w:rsidR="00F92D56" w:rsidRDefault="00367F88" w:rsidP="00A31330">
      <w:pPr>
        <w:spacing w:after="0" w:line="480" w:lineRule="auto"/>
        <w:jc w:val="both"/>
        <w:rPr>
          <w:rFonts w:ascii="Times New Roman" w:hAnsi="Times New Roman" w:cs="Times New Roman"/>
          <w:sz w:val="24"/>
          <w:szCs w:val="24"/>
          <w:lang w:eastAsia="zh-CN"/>
        </w:rPr>
      </w:pPr>
      <w:r>
        <w:rPr>
          <w:noProof/>
        </w:rPr>
        <w:lastRenderedPageBreak/>
        <w:pict w14:anchorId="28253D63">
          <v:shape id="_x0000_s1027" type="#_x0000_t75" style="position:absolute;left:0;text-align:left;margin-left:-3.75pt;margin-top:435.75pt;width:238.5pt;height:216.9pt;z-index:-251658752;mso-position-horizontal-relative:text;mso-position-vertical-relative:text;mso-width-relative:page;mso-height-relative:page" wrapcoords="-53 0 -53 21542 21600 21542 21600 0 -53 0">
            <v:imagedata r:id="rId11" o:title="image 2a"/>
            <w10:wrap type="tight"/>
          </v:shape>
        </w:pict>
      </w:r>
      <w:r w:rsidR="00F92D56">
        <w:rPr>
          <w:rFonts w:ascii="Times New Roman" w:hAnsi="Times New Roman" w:cs="Times New Roman"/>
          <w:sz w:val="24"/>
          <w:szCs w:val="24"/>
        </w:rPr>
        <w:t>During RIRS, despite pre-stenting, it was extremely difficult to reach up to the</w:t>
      </w:r>
      <w:r w:rsidR="003773E0">
        <w:rPr>
          <w:rFonts w:ascii="Times New Roman" w:hAnsi="Times New Roman" w:cs="Times New Roman"/>
          <w:sz w:val="24"/>
          <w:szCs w:val="24"/>
        </w:rPr>
        <w:t xml:space="preserve"> upper ureteric</w:t>
      </w:r>
      <w:r w:rsidR="00F92D56">
        <w:rPr>
          <w:rFonts w:ascii="Times New Roman" w:hAnsi="Times New Roman" w:cs="Times New Roman"/>
          <w:sz w:val="24"/>
          <w:szCs w:val="24"/>
        </w:rPr>
        <w:t xml:space="preserve"> stone. With the help of two glide wires, initially semirigid ureteroscope </w:t>
      </w:r>
      <w:r w:rsidR="003773E0">
        <w:rPr>
          <w:rFonts w:ascii="Times New Roman" w:hAnsi="Times New Roman" w:cs="Times New Roman"/>
          <w:sz w:val="24"/>
          <w:szCs w:val="24"/>
        </w:rPr>
        <w:t>(</w:t>
      </w:r>
      <w:r w:rsidR="00F92D56">
        <w:rPr>
          <w:rFonts w:ascii="Times New Roman" w:hAnsi="Times New Roman" w:cs="Times New Roman"/>
          <w:sz w:val="24"/>
          <w:szCs w:val="24"/>
        </w:rPr>
        <w:t>6.5/8Fr</w:t>
      </w:r>
      <w:r w:rsidR="003773E0">
        <w:rPr>
          <w:rFonts w:ascii="Times New Roman" w:hAnsi="Times New Roman" w:cs="Times New Roman"/>
          <w:sz w:val="24"/>
          <w:szCs w:val="24"/>
        </w:rPr>
        <w:t>)</w:t>
      </w:r>
      <w:r w:rsidR="00F92D56">
        <w:rPr>
          <w:rFonts w:ascii="Times New Roman" w:hAnsi="Times New Roman" w:cs="Times New Roman"/>
          <w:sz w:val="24"/>
          <w:szCs w:val="24"/>
        </w:rPr>
        <w:t xml:space="preserve"> followed by disposable digital ureteroscope </w:t>
      </w:r>
      <w:r w:rsidR="003773E0">
        <w:rPr>
          <w:rFonts w:ascii="Times New Roman" w:hAnsi="Times New Roman" w:cs="Times New Roman"/>
          <w:sz w:val="24"/>
          <w:szCs w:val="24"/>
        </w:rPr>
        <w:t>(</w:t>
      </w:r>
      <w:r w:rsidR="00F92D56">
        <w:rPr>
          <w:rFonts w:ascii="Times New Roman" w:hAnsi="Times New Roman" w:cs="Times New Roman"/>
          <w:sz w:val="24"/>
          <w:szCs w:val="24"/>
        </w:rPr>
        <w:t>7.5 Fr</w:t>
      </w:r>
      <w:r w:rsidR="003773E0">
        <w:rPr>
          <w:rFonts w:ascii="Times New Roman" w:hAnsi="Times New Roman" w:cs="Times New Roman"/>
          <w:sz w:val="24"/>
          <w:szCs w:val="24"/>
        </w:rPr>
        <w:t>)</w:t>
      </w:r>
      <w:r w:rsidR="00F92D56">
        <w:rPr>
          <w:rFonts w:ascii="Times New Roman" w:hAnsi="Times New Roman" w:cs="Times New Roman"/>
          <w:sz w:val="24"/>
          <w:szCs w:val="24"/>
        </w:rPr>
        <w:t xml:space="preserve"> was negotiated till the level of upper ureteric stone. </w:t>
      </w:r>
      <w:proofErr w:type="gramStart"/>
      <w:r w:rsidR="00284C43">
        <w:rPr>
          <w:rFonts w:ascii="Times New Roman" w:hAnsi="Times New Roman" w:cs="Times New Roman"/>
          <w:sz w:val="24"/>
          <w:szCs w:val="24"/>
        </w:rPr>
        <w:t>(</w:t>
      </w:r>
      <w:r w:rsidR="00397D56">
        <w:rPr>
          <w:rFonts w:ascii="Times New Roman" w:hAnsi="Times New Roman" w:cs="Times New Roman" w:hint="eastAsia"/>
          <w:sz w:val="24"/>
          <w:szCs w:val="24"/>
          <w:lang w:eastAsia="zh-CN"/>
        </w:rPr>
        <w:t>Figure</w:t>
      </w:r>
      <w:r w:rsidR="00284C43">
        <w:rPr>
          <w:rFonts w:ascii="Times New Roman" w:hAnsi="Times New Roman" w:cs="Times New Roman"/>
          <w:sz w:val="24"/>
          <w:szCs w:val="24"/>
        </w:rPr>
        <w:t xml:space="preserve"> 2</w:t>
      </w:r>
      <w:r w:rsidR="00F05F43">
        <w:rPr>
          <w:rFonts w:ascii="Times New Roman" w:hAnsi="Times New Roman" w:cs="Times New Roman"/>
          <w:sz w:val="24"/>
          <w:szCs w:val="24"/>
        </w:rPr>
        <w:t>a</w:t>
      </w:r>
      <w:r w:rsidR="00284C43">
        <w:rPr>
          <w:rFonts w:ascii="Times New Roman" w:hAnsi="Times New Roman" w:cs="Times New Roman"/>
          <w:sz w:val="24"/>
          <w:szCs w:val="24"/>
        </w:rPr>
        <w:t>).</w:t>
      </w:r>
      <w:proofErr w:type="gramEnd"/>
      <w:r w:rsidR="00284C43">
        <w:rPr>
          <w:rFonts w:ascii="Times New Roman" w:hAnsi="Times New Roman" w:cs="Times New Roman"/>
          <w:sz w:val="24"/>
          <w:szCs w:val="24"/>
        </w:rPr>
        <w:t xml:space="preserve"> </w:t>
      </w:r>
      <w:r w:rsidR="00F92D56">
        <w:rPr>
          <w:rFonts w:ascii="Times New Roman" w:hAnsi="Times New Roman" w:cs="Times New Roman"/>
          <w:sz w:val="24"/>
          <w:szCs w:val="24"/>
        </w:rPr>
        <w:t>Thulium Fiber Laser (IPG</w:t>
      </w:r>
      <w:r w:rsidR="00F92D56" w:rsidRPr="00F92D56">
        <w:rPr>
          <w:rFonts w:ascii="Times New Roman" w:hAnsi="Times New Roman" w:cs="Times New Roman"/>
          <w:sz w:val="24"/>
          <w:szCs w:val="24"/>
          <w:vertAlign w:val="superscript"/>
        </w:rPr>
        <w:t>TM</w:t>
      </w:r>
      <w:r w:rsidR="00F92D56">
        <w:rPr>
          <w:rFonts w:ascii="Times New Roman" w:hAnsi="Times New Roman" w:cs="Times New Roman"/>
          <w:sz w:val="24"/>
          <w:szCs w:val="24"/>
        </w:rPr>
        <w:t xml:space="preserve"> 35 Watt) was used. Initially, upper ureteric stone was fragmented using laser settings of 0.8-1.0 Joules and frequency of 10-15 Hertz. The stone was fragmented from centre to periphery safeguarding the ureteric mucosa. Gentle hand-held irrigation with 100 cm extension tube is used. Once the stone got dis-impacted, it got pushed into the Pelvicalyceal system (PCS). Now, Ureteric Access sheath </w:t>
      </w:r>
      <w:r w:rsidR="003773E0">
        <w:rPr>
          <w:rFonts w:ascii="Times New Roman" w:hAnsi="Times New Roman" w:cs="Times New Roman"/>
          <w:sz w:val="24"/>
          <w:szCs w:val="24"/>
        </w:rPr>
        <w:t>(</w:t>
      </w:r>
      <w:r w:rsidR="00F92D56">
        <w:rPr>
          <w:rFonts w:ascii="Times New Roman" w:hAnsi="Times New Roman" w:cs="Times New Roman"/>
          <w:sz w:val="24"/>
          <w:szCs w:val="24"/>
        </w:rPr>
        <w:t>10/12 Fr</w:t>
      </w:r>
      <w:r w:rsidR="003773E0">
        <w:rPr>
          <w:rFonts w:ascii="Times New Roman" w:hAnsi="Times New Roman" w:cs="Times New Roman"/>
          <w:sz w:val="24"/>
          <w:szCs w:val="24"/>
        </w:rPr>
        <w:t>, 35 cm)</w:t>
      </w:r>
      <w:r w:rsidR="00F92D56">
        <w:rPr>
          <w:rFonts w:ascii="Times New Roman" w:hAnsi="Times New Roman" w:cs="Times New Roman"/>
          <w:sz w:val="24"/>
          <w:szCs w:val="24"/>
        </w:rPr>
        <w:t xml:space="preserve"> was deployed up to the upper ureter. Disposable limited use digital ureteroscope (Seeshen </w:t>
      </w:r>
      <w:r w:rsidR="00F92D56" w:rsidRPr="00F92D56">
        <w:rPr>
          <w:rFonts w:ascii="Times New Roman" w:hAnsi="Times New Roman" w:cs="Times New Roman"/>
          <w:sz w:val="24"/>
          <w:szCs w:val="24"/>
          <w:vertAlign w:val="superscript"/>
        </w:rPr>
        <w:t>TM</w:t>
      </w:r>
      <w:r w:rsidR="00F92D56">
        <w:rPr>
          <w:rFonts w:ascii="Times New Roman" w:hAnsi="Times New Roman" w:cs="Times New Roman"/>
          <w:sz w:val="24"/>
          <w:szCs w:val="24"/>
        </w:rPr>
        <w:t>) was used for RIRS. The stone was completely dusted into fine golden dust</w:t>
      </w:r>
      <w:r w:rsidR="00F05F43">
        <w:rPr>
          <w:rFonts w:ascii="Times New Roman" w:hAnsi="Times New Roman" w:cs="Times New Roman"/>
          <w:sz w:val="24"/>
          <w:szCs w:val="24"/>
        </w:rPr>
        <w:t xml:space="preserve"> (</w:t>
      </w:r>
      <w:r w:rsidR="00397D56">
        <w:rPr>
          <w:rFonts w:ascii="Times New Roman" w:hAnsi="Times New Roman" w:cs="Times New Roman" w:hint="eastAsia"/>
          <w:sz w:val="24"/>
          <w:szCs w:val="24"/>
          <w:lang w:eastAsia="zh-CN"/>
        </w:rPr>
        <w:t>Figure</w:t>
      </w:r>
      <w:r w:rsidR="00F05F43">
        <w:rPr>
          <w:rFonts w:ascii="Times New Roman" w:hAnsi="Times New Roman" w:cs="Times New Roman"/>
          <w:sz w:val="24"/>
          <w:szCs w:val="24"/>
        </w:rPr>
        <w:t xml:space="preserve"> 2b). </w:t>
      </w:r>
      <w:r w:rsidR="00F92D56">
        <w:rPr>
          <w:rFonts w:ascii="Times New Roman" w:hAnsi="Times New Roman" w:cs="Times New Roman"/>
          <w:sz w:val="24"/>
          <w:szCs w:val="24"/>
        </w:rPr>
        <w:t>Intra renal laser settings were 1.0-1.2 Joules and 30-35 Hertz for dusting. At the end, popcorn settings of 0.</w:t>
      </w:r>
      <w:r w:rsidR="003773E0">
        <w:rPr>
          <w:rFonts w:ascii="Times New Roman" w:hAnsi="Times New Roman" w:cs="Times New Roman"/>
          <w:sz w:val="24"/>
          <w:szCs w:val="24"/>
        </w:rPr>
        <w:t>05-0.</w:t>
      </w:r>
      <w:r w:rsidR="00F92D56">
        <w:rPr>
          <w:rFonts w:ascii="Times New Roman" w:hAnsi="Times New Roman" w:cs="Times New Roman"/>
          <w:sz w:val="24"/>
          <w:szCs w:val="24"/>
        </w:rPr>
        <w:t>1 Joule and 200 Hertz was used. Complete on-table stone clearance was observe</w:t>
      </w:r>
      <w:r w:rsidR="00284C43">
        <w:rPr>
          <w:rFonts w:ascii="Times New Roman" w:hAnsi="Times New Roman" w:cs="Times New Roman"/>
          <w:sz w:val="24"/>
          <w:szCs w:val="24"/>
        </w:rPr>
        <w:t xml:space="preserve">d. Post procedure contrast study in the form of Retrograde Pyelography was normal. DJ stent </w:t>
      </w:r>
      <w:r w:rsidR="003773E0">
        <w:rPr>
          <w:rFonts w:ascii="Times New Roman" w:hAnsi="Times New Roman" w:cs="Times New Roman"/>
          <w:sz w:val="24"/>
          <w:szCs w:val="24"/>
        </w:rPr>
        <w:t xml:space="preserve">(5Fr/26 cm) </w:t>
      </w:r>
      <w:r w:rsidR="00284C43">
        <w:rPr>
          <w:rFonts w:ascii="Times New Roman" w:hAnsi="Times New Roman" w:cs="Times New Roman"/>
          <w:sz w:val="24"/>
          <w:szCs w:val="24"/>
        </w:rPr>
        <w:t xml:space="preserve">was placed as routine. The total ureteroscopy time was 40 minutes. No complication in the form of sepsis or bleeding was noted. Stent removal was done after 2 weeks.  </w:t>
      </w:r>
    </w:p>
    <w:p w14:paraId="1730A3F6" w14:textId="786C4FDD" w:rsidR="00397D56" w:rsidRPr="00331E7B" w:rsidRDefault="00397D56" w:rsidP="00A31330">
      <w:pPr>
        <w:spacing w:after="0" w:line="480" w:lineRule="auto"/>
        <w:jc w:val="both"/>
        <w:rPr>
          <w:rFonts w:ascii="Times New Roman" w:hAnsi="Times New Roman" w:cs="Times New Roman"/>
          <w:sz w:val="24"/>
          <w:szCs w:val="24"/>
          <w:lang w:eastAsia="zh-CN"/>
        </w:rPr>
      </w:pPr>
    </w:p>
    <w:p w14:paraId="6A50A988"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3384C57C"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0799024A"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13F97500"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66496FC2" w14:textId="77777777" w:rsidR="00A31330" w:rsidRDefault="00A31330" w:rsidP="00A31330">
      <w:pPr>
        <w:spacing w:after="0" w:line="480" w:lineRule="auto"/>
        <w:jc w:val="both"/>
        <w:rPr>
          <w:rFonts w:ascii="Times New Roman" w:hAnsi="Times New Roman" w:cs="Times New Roman"/>
          <w:b/>
          <w:bCs/>
          <w:sz w:val="24"/>
          <w:szCs w:val="24"/>
          <w:lang w:eastAsia="zh-CN"/>
        </w:rPr>
      </w:pPr>
    </w:p>
    <w:p w14:paraId="7C217467" w14:textId="77777777" w:rsidR="00A31330" w:rsidRDefault="00A31330" w:rsidP="00A31330">
      <w:pPr>
        <w:spacing w:after="0" w:line="480" w:lineRule="auto"/>
        <w:jc w:val="both"/>
        <w:rPr>
          <w:rFonts w:ascii="Times New Roman" w:hAnsi="Times New Roman" w:cs="Times New Roman"/>
          <w:b/>
          <w:bCs/>
          <w:sz w:val="24"/>
          <w:szCs w:val="24"/>
          <w:lang w:eastAsia="zh-CN"/>
        </w:rPr>
      </w:pPr>
    </w:p>
    <w:p w14:paraId="2BF3C768" w14:textId="77777777" w:rsidR="00A31330" w:rsidRDefault="00A31330" w:rsidP="00A31330">
      <w:pPr>
        <w:spacing w:after="0" w:line="480" w:lineRule="auto"/>
        <w:jc w:val="both"/>
        <w:rPr>
          <w:rFonts w:ascii="Times New Roman" w:hAnsi="Times New Roman" w:cs="Times New Roman"/>
          <w:b/>
          <w:bCs/>
          <w:sz w:val="24"/>
          <w:szCs w:val="24"/>
          <w:lang w:eastAsia="zh-CN"/>
        </w:rPr>
      </w:pPr>
    </w:p>
    <w:p w14:paraId="79925BDD" w14:textId="5EC427BC" w:rsidR="00397D56" w:rsidRPr="00397D56" w:rsidRDefault="00397D56" w:rsidP="00A31330">
      <w:pPr>
        <w:spacing w:after="0" w:line="480" w:lineRule="auto"/>
        <w:jc w:val="both"/>
        <w:rPr>
          <w:rFonts w:ascii="Times New Roman" w:hAnsi="Times New Roman" w:cs="Times New Roman"/>
          <w:b/>
          <w:bCs/>
          <w:sz w:val="24"/>
          <w:szCs w:val="24"/>
          <w:lang w:eastAsia="zh-CN"/>
        </w:rPr>
      </w:pPr>
      <w:r w:rsidRPr="00397D56">
        <w:rPr>
          <w:rFonts w:ascii="Times New Roman" w:hAnsi="Times New Roman" w:cs="Times New Roman" w:hint="eastAsia"/>
          <w:b/>
          <w:bCs/>
          <w:sz w:val="24"/>
          <w:szCs w:val="24"/>
          <w:lang w:eastAsia="zh-CN"/>
        </w:rPr>
        <w:t>Figure 2a</w:t>
      </w:r>
    </w:p>
    <w:p w14:paraId="7EDB2145" w14:textId="1192D9F7" w:rsidR="00397D56" w:rsidRDefault="007F1367"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lastRenderedPageBreak/>
        <w:pict w14:anchorId="3D45ADF6">
          <v:shape id="_x0000_i1026" type="#_x0000_t75" style="width:223.5pt;height:195pt">
            <v:imagedata r:id="rId12" o:title="image 2b"/>
          </v:shape>
        </w:pict>
      </w:r>
    </w:p>
    <w:p w14:paraId="56DB782D" w14:textId="527F78F4" w:rsidR="00397D56" w:rsidRDefault="00397D56"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Figure 2b</w:t>
      </w:r>
    </w:p>
    <w:p w14:paraId="1B344E97" w14:textId="77777777" w:rsidR="00A31330" w:rsidRPr="00397D56" w:rsidRDefault="00A31330" w:rsidP="00A31330">
      <w:pPr>
        <w:spacing w:after="0" w:line="480" w:lineRule="auto"/>
        <w:jc w:val="both"/>
        <w:rPr>
          <w:rFonts w:ascii="Times New Roman" w:hAnsi="Times New Roman" w:cs="Times New Roman"/>
          <w:b/>
          <w:bCs/>
          <w:sz w:val="24"/>
          <w:szCs w:val="24"/>
          <w:lang w:eastAsia="zh-CN"/>
        </w:rPr>
      </w:pPr>
    </w:p>
    <w:p w14:paraId="426E79DE" w14:textId="56E3EBA0" w:rsidR="00284C43" w:rsidRPr="00AA16AE" w:rsidRDefault="00A31330"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rPr>
        <w:t>D</w:t>
      </w:r>
      <w:r>
        <w:rPr>
          <w:rFonts w:ascii="Times New Roman" w:hAnsi="Times New Roman" w:cs="Times New Roman" w:hint="eastAsia"/>
          <w:b/>
          <w:bCs/>
          <w:sz w:val="24"/>
          <w:szCs w:val="24"/>
          <w:lang w:eastAsia="zh-CN"/>
        </w:rPr>
        <w:t>iscussion</w:t>
      </w:r>
    </w:p>
    <w:p w14:paraId="7D2018BD" w14:textId="782B20D6" w:rsidR="00AE2B93" w:rsidRDefault="003773E0" w:rsidP="00A31330">
      <w:pPr>
        <w:spacing w:after="0" w:line="480" w:lineRule="auto"/>
        <w:jc w:val="both"/>
        <w:rPr>
          <w:rFonts w:ascii="Times New Roman" w:hAnsi="Times New Roman" w:cs="Times New Roman"/>
          <w:sz w:val="24"/>
          <w:szCs w:val="24"/>
        </w:rPr>
      </w:pPr>
      <w:bookmarkStart w:id="2" w:name="_Hlk146722835"/>
      <w:r w:rsidRPr="003773E0">
        <w:rPr>
          <w:rFonts w:ascii="Times New Roman" w:hAnsi="Times New Roman" w:cs="Times New Roman"/>
          <w:sz w:val="24"/>
          <w:szCs w:val="24"/>
        </w:rPr>
        <w:t xml:space="preserve">The normal adult haemoglobin, Haemoglobin A (HbA), is formed by two </w:t>
      </w:r>
      <w:proofErr w:type="gramStart"/>
      <w:r w:rsidRPr="003773E0">
        <w:rPr>
          <w:rFonts w:ascii="Times New Roman" w:hAnsi="Times New Roman" w:cs="Times New Roman"/>
          <w:sz w:val="24"/>
          <w:szCs w:val="24"/>
        </w:rPr>
        <w:t>α and</w:t>
      </w:r>
      <w:proofErr w:type="gramEnd"/>
      <w:r w:rsidRPr="003773E0">
        <w:rPr>
          <w:rFonts w:ascii="Times New Roman" w:hAnsi="Times New Roman" w:cs="Times New Roman"/>
          <w:sz w:val="24"/>
          <w:szCs w:val="24"/>
        </w:rPr>
        <w:t xml:space="preserve"> two β globin</w:t>
      </w:r>
      <w:r>
        <w:rPr>
          <w:rFonts w:ascii="Times New Roman" w:hAnsi="Times New Roman" w:cs="Times New Roman"/>
          <w:sz w:val="24"/>
          <w:szCs w:val="24"/>
        </w:rPr>
        <w:t xml:space="preserve"> </w:t>
      </w:r>
      <w:r w:rsidRPr="003773E0">
        <w:rPr>
          <w:rFonts w:ascii="Times New Roman" w:hAnsi="Times New Roman" w:cs="Times New Roman"/>
          <w:sz w:val="24"/>
          <w:szCs w:val="24"/>
        </w:rPr>
        <w:t xml:space="preserve">chains (αβ), </w:t>
      </w:r>
      <w:r>
        <w:rPr>
          <w:rFonts w:ascii="Times New Roman" w:hAnsi="Times New Roman" w:cs="Times New Roman"/>
          <w:sz w:val="24"/>
          <w:szCs w:val="24"/>
        </w:rPr>
        <w:t xml:space="preserve">located </w:t>
      </w:r>
      <w:r w:rsidRPr="003773E0">
        <w:rPr>
          <w:rFonts w:ascii="Times New Roman" w:hAnsi="Times New Roman" w:cs="Times New Roman"/>
          <w:sz w:val="24"/>
          <w:szCs w:val="24"/>
        </w:rPr>
        <w:t xml:space="preserve">on chromosomes 16 and 11. The sickle </w:t>
      </w:r>
      <w:r>
        <w:rPr>
          <w:rFonts w:ascii="Times New Roman" w:hAnsi="Times New Roman" w:cs="Times New Roman"/>
          <w:sz w:val="24"/>
          <w:szCs w:val="24"/>
        </w:rPr>
        <w:t>H</w:t>
      </w:r>
      <w:r w:rsidRPr="003773E0">
        <w:rPr>
          <w:rFonts w:ascii="Times New Roman" w:hAnsi="Times New Roman" w:cs="Times New Roman"/>
          <w:sz w:val="24"/>
          <w:szCs w:val="24"/>
        </w:rPr>
        <w:t>aemoglobin mutation (Hb S)</w:t>
      </w:r>
      <w:r>
        <w:rPr>
          <w:rFonts w:ascii="Times New Roman" w:hAnsi="Times New Roman" w:cs="Times New Roman"/>
          <w:sz w:val="24"/>
          <w:szCs w:val="24"/>
        </w:rPr>
        <w:t xml:space="preserve"> </w:t>
      </w:r>
      <w:r w:rsidRPr="003773E0">
        <w:rPr>
          <w:rFonts w:ascii="Times New Roman" w:hAnsi="Times New Roman" w:cs="Times New Roman"/>
          <w:sz w:val="24"/>
          <w:szCs w:val="24"/>
        </w:rPr>
        <w:t xml:space="preserve">results from </w:t>
      </w:r>
      <w:r w:rsidR="009F2186">
        <w:rPr>
          <w:rFonts w:ascii="Times New Roman" w:hAnsi="Times New Roman" w:cs="Times New Roman"/>
          <w:sz w:val="24"/>
          <w:szCs w:val="24"/>
        </w:rPr>
        <w:t>the</w:t>
      </w:r>
      <w:r w:rsidRPr="003773E0">
        <w:rPr>
          <w:rFonts w:ascii="Times New Roman" w:hAnsi="Times New Roman" w:cs="Times New Roman"/>
          <w:sz w:val="24"/>
          <w:szCs w:val="24"/>
        </w:rPr>
        <w:t xml:space="preserve"> substitution of valine for glutamic acid in the 6</w:t>
      </w:r>
      <w:r w:rsidR="009F2186" w:rsidRPr="009F2186">
        <w:rPr>
          <w:rFonts w:ascii="Times New Roman" w:hAnsi="Times New Roman" w:cs="Times New Roman"/>
          <w:sz w:val="24"/>
          <w:szCs w:val="24"/>
          <w:vertAlign w:val="superscript"/>
        </w:rPr>
        <w:t>th</w:t>
      </w:r>
      <w:r w:rsidR="009F2186">
        <w:rPr>
          <w:rFonts w:ascii="Times New Roman" w:hAnsi="Times New Roman" w:cs="Times New Roman"/>
          <w:sz w:val="24"/>
          <w:szCs w:val="24"/>
        </w:rPr>
        <w:t xml:space="preserve"> </w:t>
      </w:r>
      <w:r w:rsidRPr="003773E0">
        <w:rPr>
          <w:rFonts w:ascii="Times New Roman" w:hAnsi="Times New Roman" w:cs="Times New Roman"/>
          <w:sz w:val="24"/>
          <w:szCs w:val="24"/>
        </w:rPr>
        <w:t>position of</w:t>
      </w:r>
      <w:r w:rsidR="009F2186">
        <w:rPr>
          <w:rFonts w:ascii="Times New Roman" w:hAnsi="Times New Roman" w:cs="Times New Roman"/>
          <w:sz w:val="24"/>
          <w:szCs w:val="24"/>
        </w:rPr>
        <w:t xml:space="preserve"> </w:t>
      </w:r>
      <w:r w:rsidRPr="003773E0">
        <w:rPr>
          <w:rFonts w:ascii="Times New Roman" w:hAnsi="Times New Roman" w:cs="Times New Roman"/>
          <w:sz w:val="24"/>
          <w:szCs w:val="24"/>
        </w:rPr>
        <w:t>the β globin chain</w:t>
      </w:r>
      <w:r>
        <w:rPr>
          <w:rFonts w:ascii="Times New Roman" w:hAnsi="Times New Roman" w:cs="Times New Roman"/>
          <w:sz w:val="24"/>
          <w:szCs w:val="24"/>
        </w:rPr>
        <w:t>.</w:t>
      </w:r>
      <w:r w:rsidR="009F2186" w:rsidRPr="009F2186">
        <w:rPr>
          <w:rFonts w:ascii="Times New Roman" w:hAnsi="Times New Roman" w:cs="Times New Roman"/>
          <w:sz w:val="24"/>
          <w:szCs w:val="24"/>
          <w:vertAlign w:val="superscript"/>
        </w:rPr>
        <w:t>1</w:t>
      </w:r>
      <w:r w:rsidR="009F2186">
        <w:rPr>
          <w:rFonts w:ascii="Times New Roman" w:hAnsi="Times New Roman" w:cs="Times New Roman"/>
          <w:sz w:val="24"/>
          <w:szCs w:val="24"/>
          <w:vertAlign w:val="superscript"/>
        </w:rPr>
        <w:t xml:space="preserve"> </w:t>
      </w:r>
      <w:r w:rsidR="009F2186">
        <w:rPr>
          <w:rFonts w:ascii="Times New Roman" w:hAnsi="Times New Roman" w:cs="Times New Roman"/>
          <w:sz w:val="24"/>
          <w:szCs w:val="24"/>
        </w:rPr>
        <w:t xml:space="preserve">The resulting HbS polymerises in response to stress, dehydration, hypothermia, hypovolemia, acidosis etc. and causes sickling of RBC and early destruction. SCD is characterised by recurrent vaso-occlusion. </w:t>
      </w:r>
      <w:r w:rsidR="009F2186" w:rsidRPr="009F2186">
        <w:rPr>
          <w:rFonts w:ascii="Times New Roman" w:hAnsi="Times New Roman" w:cs="Times New Roman"/>
          <w:sz w:val="24"/>
          <w:szCs w:val="24"/>
          <w:vertAlign w:val="superscript"/>
        </w:rPr>
        <w:t>2, 3</w:t>
      </w:r>
      <w:r w:rsidR="009F2186">
        <w:rPr>
          <w:rFonts w:ascii="Times New Roman" w:hAnsi="Times New Roman" w:cs="Times New Roman"/>
          <w:sz w:val="24"/>
          <w:szCs w:val="24"/>
        </w:rPr>
        <w:t xml:space="preserve"> </w:t>
      </w:r>
    </w:p>
    <w:p w14:paraId="7563F9B7" w14:textId="0CD3C058" w:rsidR="00AE2B93" w:rsidRDefault="003773E0" w:rsidP="00A31330">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Surgery in SCA patients can be challenging due to the high risk of complications. </w:t>
      </w:r>
      <w:r w:rsidR="004A2088">
        <w:rPr>
          <w:rFonts w:ascii="Times New Roman" w:hAnsi="Times New Roman" w:cs="Times New Roman"/>
          <w:sz w:val="24"/>
          <w:szCs w:val="24"/>
        </w:rPr>
        <w:t>SCA patients carry high risk of per-operative mortality, acute chest syndrome,</w:t>
      </w:r>
      <w:r w:rsidR="00622087">
        <w:rPr>
          <w:rFonts w:ascii="Times New Roman" w:hAnsi="Times New Roman" w:cs="Times New Roman"/>
          <w:sz w:val="24"/>
          <w:szCs w:val="24"/>
        </w:rPr>
        <w:t xml:space="preserve"> congestive cardiac failure, sepsis etc.</w:t>
      </w:r>
      <w:r w:rsidR="00622087" w:rsidRPr="00622087">
        <w:rPr>
          <w:rFonts w:ascii="Times New Roman" w:hAnsi="Times New Roman" w:cs="Times New Roman"/>
          <w:sz w:val="24"/>
          <w:szCs w:val="24"/>
          <w:vertAlign w:val="superscript"/>
        </w:rPr>
        <w:t xml:space="preserve">4 </w:t>
      </w:r>
      <w:r w:rsidR="00622087">
        <w:rPr>
          <w:rFonts w:ascii="Times New Roman" w:hAnsi="Times New Roman" w:cs="Times New Roman"/>
          <w:sz w:val="24"/>
          <w:szCs w:val="24"/>
        </w:rPr>
        <w:t xml:space="preserve">Surgical management of </w:t>
      </w:r>
      <w:r w:rsidR="00284C43">
        <w:rPr>
          <w:rFonts w:ascii="Times New Roman" w:hAnsi="Times New Roman" w:cs="Times New Roman"/>
          <w:sz w:val="24"/>
          <w:szCs w:val="24"/>
        </w:rPr>
        <w:t>SCA patients require</w:t>
      </w:r>
      <w:r w:rsidR="00622087">
        <w:rPr>
          <w:rFonts w:ascii="Times New Roman" w:hAnsi="Times New Roman" w:cs="Times New Roman"/>
          <w:sz w:val="24"/>
          <w:szCs w:val="24"/>
        </w:rPr>
        <w:t>s</w:t>
      </w:r>
      <w:r w:rsidR="00284C43">
        <w:rPr>
          <w:rFonts w:ascii="Times New Roman" w:hAnsi="Times New Roman" w:cs="Times New Roman"/>
          <w:sz w:val="24"/>
          <w:szCs w:val="24"/>
        </w:rPr>
        <w:t xml:space="preserve"> a multi-disciplinary team management involving the Urologist, Haematologist, Pathologist and nursing staff. Pre-operative anaemia is crucial for any surgery. There </w:t>
      </w:r>
      <w:r w:rsidR="004E13DC">
        <w:rPr>
          <w:rFonts w:ascii="Times New Roman" w:hAnsi="Times New Roman" w:cs="Times New Roman"/>
          <w:sz w:val="24"/>
          <w:szCs w:val="24"/>
        </w:rPr>
        <w:t>are various schools of thought for pre-operative blood transfusion in SCA patients undergoing surgery. The</w:t>
      </w:r>
      <w:r w:rsidR="004E13DC" w:rsidRPr="004E13DC">
        <w:rPr>
          <w:rFonts w:ascii="Times New Roman" w:hAnsi="Times New Roman" w:cs="Times New Roman"/>
          <w:sz w:val="24"/>
          <w:szCs w:val="24"/>
        </w:rPr>
        <w:t xml:space="preserve"> Cooperative Study of Sickle Cell</w:t>
      </w:r>
      <w:r w:rsidR="004E13DC">
        <w:rPr>
          <w:rFonts w:ascii="Times New Roman" w:hAnsi="Times New Roman" w:cs="Times New Roman"/>
          <w:sz w:val="24"/>
          <w:szCs w:val="24"/>
        </w:rPr>
        <w:t xml:space="preserve"> </w:t>
      </w:r>
      <w:r w:rsidR="004E13DC" w:rsidRPr="004E13DC">
        <w:rPr>
          <w:rFonts w:ascii="Times New Roman" w:hAnsi="Times New Roman" w:cs="Times New Roman"/>
          <w:sz w:val="24"/>
          <w:szCs w:val="24"/>
        </w:rPr>
        <w:t>Disease</w:t>
      </w:r>
      <w:r w:rsidR="004E13DC">
        <w:rPr>
          <w:rFonts w:ascii="Times New Roman" w:hAnsi="Times New Roman" w:cs="Times New Roman"/>
          <w:sz w:val="24"/>
          <w:szCs w:val="24"/>
        </w:rPr>
        <w:t xml:space="preserve"> performed the </w:t>
      </w:r>
      <w:r w:rsidR="004E13DC" w:rsidRPr="004E13DC">
        <w:rPr>
          <w:rFonts w:ascii="Times New Roman" w:hAnsi="Times New Roman" w:cs="Times New Roman"/>
          <w:sz w:val="24"/>
          <w:szCs w:val="24"/>
        </w:rPr>
        <w:t>largest cohort study of surgery in SCD patients</w:t>
      </w:r>
      <w:r w:rsidR="004E13DC">
        <w:rPr>
          <w:rFonts w:ascii="Times New Roman" w:hAnsi="Times New Roman" w:cs="Times New Roman"/>
          <w:sz w:val="24"/>
          <w:szCs w:val="24"/>
        </w:rPr>
        <w:t>. They concluded</w:t>
      </w:r>
      <w:r w:rsidR="004E13DC" w:rsidRPr="004E13DC">
        <w:rPr>
          <w:rFonts w:ascii="Times New Roman" w:hAnsi="Times New Roman" w:cs="Times New Roman"/>
          <w:sz w:val="24"/>
          <w:szCs w:val="24"/>
        </w:rPr>
        <w:t xml:space="preserve"> beneficial effects of preoperative transfusion in Hb SC patients for all surgical</w:t>
      </w:r>
      <w:r w:rsidR="004E13DC">
        <w:rPr>
          <w:rFonts w:ascii="Times New Roman" w:hAnsi="Times New Roman" w:cs="Times New Roman"/>
          <w:sz w:val="24"/>
          <w:szCs w:val="24"/>
        </w:rPr>
        <w:t xml:space="preserve"> </w:t>
      </w:r>
      <w:r w:rsidR="004E13DC" w:rsidRPr="004E13DC">
        <w:rPr>
          <w:rFonts w:ascii="Times New Roman" w:hAnsi="Times New Roman" w:cs="Times New Roman"/>
          <w:sz w:val="24"/>
          <w:szCs w:val="24"/>
        </w:rPr>
        <w:t>procedures</w:t>
      </w:r>
      <w:r w:rsidR="004E13DC">
        <w:rPr>
          <w:rFonts w:ascii="Times New Roman" w:hAnsi="Times New Roman" w:cs="Times New Roman"/>
          <w:sz w:val="24"/>
          <w:szCs w:val="24"/>
        </w:rPr>
        <w:t>.</w:t>
      </w:r>
      <w:r w:rsidR="004E13DC" w:rsidRPr="004E13DC">
        <w:rPr>
          <w:rFonts w:ascii="Times New Roman" w:hAnsi="Times New Roman" w:cs="Times New Roman"/>
          <w:sz w:val="24"/>
          <w:szCs w:val="24"/>
          <w:vertAlign w:val="superscript"/>
        </w:rPr>
        <w:t xml:space="preserve"> </w:t>
      </w:r>
      <w:r w:rsidR="00622087">
        <w:rPr>
          <w:rFonts w:ascii="Times New Roman" w:hAnsi="Times New Roman" w:cs="Times New Roman"/>
          <w:sz w:val="24"/>
          <w:szCs w:val="24"/>
          <w:vertAlign w:val="superscript"/>
        </w:rPr>
        <w:t>5</w:t>
      </w:r>
      <w:r w:rsidR="00A66C6B">
        <w:rPr>
          <w:rFonts w:ascii="Times New Roman" w:hAnsi="Times New Roman" w:cs="Times New Roman"/>
          <w:sz w:val="24"/>
          <w:szCs w:val="24"/>
          <w:vertAlign w:val="superscript"/>
        </w:rPr>
        <w:t xml:space="preserve"> </w:t>
      </w:r>
      <w:r w:rsidR="00A66C6B">
        <w:rPr>
          <w:rFonts w:ascii="Times New Roman" w:hAnsi="Times New Roman" w:cs="Times New Roman"/>
          <w:sz w:val="24"/>
          <w:szCs w:val="24"/>
        </w:rPr>
        <w:t xml:space="preserve">However, few studies refute the role of pre-operative transfusion. It is important </w:t>
      </w:r>
      <w:r w:rsidR="00A66C6B">
        <w:rPr>
          <w:rFonts w:ascii="Times New Roman" w:hAnsi="Times New Roman" w:cs="Times New Roman"/>
          <w:sz w:val="24"/>
          <w:szCs w:val="24"/>
        </w:rPr>
        <w:lastRenderedPageBreak/>
        <w:t>to avoid the triggering factors for sickle cell crisis such as dehydration, hypoxia,</w:t>
      </w:r>
      <w:r w:rsidR="00042FB3">
        <w:rPr>
          <w:rFonts w:ascii="Times New Roman" w:hAnsi="Times New Roman" w:cs="Times New Roman"/>
          <w:sz w:val="24"/>
          <w:szCs w:val="24"/>
        </w:rPr>
        <w:t xml:space="preserve"> hypovolemia, </w:t>
      </w:r>
      <w:r w:rsidR="00A66C6B">
        <w:rPr>
          <w:rFonts w:ascii="Times New Roman" w:hAnsi="Times New Roman" w:cs="Times New Roman"/>
          <w:sz w:val="24"/>
          <w:szCs w:val="24"/>
        </w:rPr>
        <w:t xml:space="preserve">hypothermia, </w:t>
      </w:r>
      <w:r w:rsidR="00A66C6B" w:rsidRPr="00A66C6B">
        <w:rPr>
          <w:rFonts w:ascii="Times New Roman" w:hAnsi="Times New Roman" w:cs="Times New Roman"/>
          <w:sz w:val="24"/>
          <w:szCs w:val="24"/>
        </w:rPr>
        <w:t>stress, infection, vascular stasis and increased blood viscosity.</w:t>
      </w:r>
      <w:r w:rsidR="00AE2B93">
        <w:rPr>
          <w:rFonts w:ascii="Times New Roman" w:hAnsi="Times New Roman" w:cs="Times New Roman"/>
          <w:sz w:val="24"/>
          <w:szCs w:val="24"/>
        </w:rPr>
        <w:t xml:space="preserve"> </w:t>
      </w:r>
      <w:r w:rsidR="00AE2B93" w:rsidRPr="00AE2B93">
        <w:rPr>
          <w:rFonts w:ascii="Times New Roman" w:hAnsi="Times New Roman" w:cs="Times New Roman"/>
          <w:sz w:val="24"/>
          <w:szCs w:val="24"/>
          <w:vertAlign w:val="superscript"/>
        </w:rPr>
        <w:t xml:space="preserve">6 </w:t>
      </w:r>
      <w:r w:rsidR="00A66C6B" w:rsidRPr="00A66C6B">
        <w:rPr>
          <w:rFonts w:ascii="Times New Roman" w:hAnsi="Times New Roman" w:cs="Times New Roman"/>
          <w:sz w:val="24"/>
          <w:szCs w:val="24"/>
          <w:vertAlign w:val="superscript"/>
        </w:rPr>
        <w:t xml:space="preserve"> </w:t>
      </w:r>
    </w:p>
    <w:p w14:paraId="10034483" w14:textId="33F2746E" w:rsidR="00CA61AB" w:rsidRPr="00FB0E13" w:rsidRDefault="00F25E89" w:rsidP="00A313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Renal stone disease is a common global urological problem. </w:t>
      </w:r>
      <w:r w:rsidR="00042FB3">
        <w:rPr>
          <w:rFonts w:ascii="Times New Roman" w:hAnsi="Times New Roman" w:cs="Times New Roman"/>
          <w:sz w:val="24"/>
          <w:szCs w:val="24"/>
        </w:rPr>
        <w:t xml:space="preserve">Mini PCNL and RIRS are currently the mainstay of management of upper tract calculi. </w:t>
      </w:r>
      <w:r>
        <w:rPr>
          <w:rFonts w:ascii="Times New Roman" w:hAnsi="Times New Roman" w:cs="Times New Roman"/>
          <w:sz w:val="24"/>
          <w:szCs w:val="24"/>
        </w:rPr>
        <w:t xml:space="preserve">As per the European Association of Urology (EAU) guidelines, RIRS is the first line modality for </w:t>
      </w:r>
      <w:r w:rsidR="00BA3B4F">
        <w:rPr>
          <w:rFonts w:ascii="Times New Roman" w:hAnsi="Times New Roman" w:cs="Times New Roman"/>
          <w:sz w:val="24"/>
          <w:szCs w:val="24"/>
        </w:rPr>
        <w:t xml:space="preserve">non-lower pole </w:t>
      </w:r>
      <w:r>
        <w:rPr>
          <w:rFonts w:ascii="Times New Roman" w:hAnsi="Times New Roman" w:cs="Times New Roman"/>
          <w:sz w:val="24"/>
          <w:szCs w:val="24"/>
        </w:rPr>
        <w:t>renal stones up to 20 mm</w:t>
      </w:r>
      <w:r w:rsidR="00BA3B4F">
        <w:rPr>
          <w:rFonts w:ascii="Times New Roman" w:hAnsi="Times New Roman" w:cs="Times New Roman"/>
          <w:sz w:val="24"/>
          <w:szCs w:val="24"/>
        </w:rPr>
        <w:t xml:space="preserve">. </w:t>
      </w:r>
      <w:r w:rsidR="00BA3B4F" w:rsidRPr="00BA3B4F">
        <w:rPr>
          <w:rFonts w:ascii="Times New Roman" w:hAnsi="Times New Roman" w:cs="Times New Roman"/>
          <w:sz w:val="24"/>
          <w:szCs w:val="24"/>
          <w:vertAlign w:val="superscript"/>
        </w:rPr>
        <w:t xml:space="preserve">7 </w:t>
      </w:r>
      <w:r w:rsidR="00042FB3">
        <w:rPr>
          <w:rFonts w:ascii="Times New Roman" w:hAnsi="Times New Roman" w:cs="Times New Roman"/>
          <w:sz w:val="24"/>
          <w:szCs w:val="24"/>
        </w:rPr>
        <w:t>RIRS scores over MPCNL in terms of safety due to lesser risk of bleedin</w:t>
      </w:r>
      <w:r w:rsidR="00F168B2">
        <w:rPr>
          <w:rFonts w:ascii="Times New Roman" w:hAnsi="Times New Roman" w:cs="Times New Roman"/>
          <w:sz w:val="24"/>
          <w:szCs w:val="24"/>
        </w:rPr>
        <w:t>g, pain and hospital stay.</w:t>
      </w:r>
      <w:r w:rsidR="00042FB3">
        <w:rPr>
          <w:rFonts w:ascii="Times New Roman" w:hAnsi="Times New Roman" w:cs="Times New Roman"/>
          <w:sz w:val="24"/>
          <w:szCs w:val="24"/>
        </w:rPr>
        <w:t xml:space="preserve"> </w:t>
      </w:r>
      <w:r w:rsidR="00F168B2">
        <w:rPr>
          <w:rFonts w:ascii="Times New Roman" w:hAnsi="Times New Roman" w:cs="Times New Roman"/>
          <w:sz w:val="24"/>
          <w:szCs w:val="24"/>
        </w:rPr>
        <w:t xml:space="preserve">The risk of bleeding requiring blood transfusion after </w:t>
      </w:r>
      <w:r w:rsidR="00F168B2" w:rsidRPr="00F168B2">
        <w:rPr>
          <w:rFonts w:ascii="Times New Roman" w:hAnsi="Times New Roman" w:cs="Times New Roman"/>
          <w:sz w:val="24"/>
          <w:szCs w:val="24"/>
        </w:rPr>
        <w:t>PCNL</w:t>
      </w:r>
      <w:r w:rsidR="00F168B2">
        <w:rPr>
          <w:rFonts w:ascii="Times New Roman" w:hAnsi="Times New Roman" w:cs="Times New Roman"/>
          <w:sz w:val="24"/>
          <w:szCs w:val="24"/>
        </w:rPr>
        <w:t xml:space="preserve"> can be up to </w:t>
      </w:r>
      <w:r w:rsidR="00F168B2" w:rsidRPr="00F168B2">
        <w:rPr>
          <w:rFonts w:ascii="Times New Roman" w:hAnsi="Times New Roman" w:cs="Times New Roman"/>
          <w:sz w:val="24"/>
          <w:szCs w:val="24"/>
        </w:rPr>
        <w:t>20%</w:t>
      </w:r>
      <w:r w:rsidR="00F168B2">
        <w:rPr>
          <w:rFonts w:ascii="Times New Roman" w:hAnsi="Times New Roman" w:cs="Times New Roman"/>
          <w:sz w:val="24"/>
          <w:szCs w:val="24"/>
        </w:rPr>
        <w:t xml:space="preserve"> (</w:t>
      </w:r>
      <w:r w:rsidR="00F168B2" w:rsidRPr="00F168B2">
        <w:rPr>
          <w:rFonts w:ascii="Times New Roman" w:hAnsi="Times New Roman" w:cs="Times New Roman"/>
          <w:sz w:val="24"/>
          <w:szCs w:val="24"/>
        </w:rPr>
        <w:t>mean 7%)</w:t>
      </w:r>
      <w:r w:rsidR="00F168B2">
        <w:rPr>
          <w:rFonts w:ascii="Times New Roman" w:hAnsi="Times New Roman" w:cs="Times New Roman"/>
          <w:sz w:val="24"/>
          <w:szCs w:val="24"/>
        </w:rPr>
        <w:t xml:space="preserve"> whereas with RIRS, it’s negligible.</w:t>
      </w:r>
      <w:r w:rsidR="00FB0E13">
        <w:rPr>
          <w:rFonts w:ascii="Times New Roman" w:hAnsi="Times New Roman" w:cs="Times New Roman"/>
          <w:sz w:val="24"/>
          <w:szCs w:val="24"/>
          <w:vertAlign w:val="superscript"/>
        </w:rPr>
        <w:t>8,9</w:t>
      </w:r>
      <w:r w:rsidR="00F039A6" w:rsidRPr="00F039A6">
        <w:rPr>
          <w:rFonts w:ascii="Times New Roman" w:hAnsi="Times New Roman" w:cs="Times New Roman"/>
          <w:sz w:val="24"/>
          <w:szCs w:val="24"/>
          <w:vertAlign w:val="superscript"/>
        </w:rPr>
        <w:t xml:space="preserve"> </w:t>
      </w:r>
      <w:r w:rsidR="00F168B2">
        <w:rPr>
          <w:rFonts w:ascii="Times New Roman" w:hAnsi="Times New Roman" w:cs="Times New Roman"/>
          <w:sz w:val="24"/>
          <w:szCs w:val="24"/>
        </w:rPr>
        <w:t>RIRS is equally efficacious in terms of stone clearance for 1.5-2 cm upper tract calculi.</w:t>
      </w:r>
      <w:r w:rsidR="00F039A6">
        <w:rPr>
          <w:rFonts w:ascii="Times New Roman" w:hAnsi="Times New Roman" w:cs="Times New Roman"/>
          <w:sz w:val="24"/>
          <w:szCs w:val="24"/>
        </w:rPr>
        <w:t xml:space="preserve"> Newer lasers such as Thulium Fiber Laser </w:t>
      </w:r>
      <w:r w:rsidR="00FB0E13">
        <w:rPr>
          <w:rFonts w:ascii="Times New Roman" w:hAnsi="Times New Roman" w:cs="Times New Roman"/>
          <w:sz w:val="24"/>
          <w:szCs w:val="24"/>
        </w:rPr>
        <w:t xml:space="preserve">are proving as game changer for RIRS. With TFL laser, there has been significant improvement in </w:t>
      </w:r>
      <w:r w:rsidR="00F039A6">
        <w:rPr>
          <w:rFonts w:ascii="Times New Roman" w:hAnsi="Times New Roman" w:cs="Times New Roman"/>
          <w:sz w:val="24"/>
          <w:szCs w:val="24"/>
        </w:rPr>
        <w:t xml:space="preserve">stone clearance, </w:t>
      </w:r>
      <w:r w:rsidR="00FB0E13">
        <w:rPr>
          <w:rFonts w:ascii="Times New Roman" w:hAnsi="Times New Roman" w:cs="Times New Roman"/>
          <w:sz w:val="24"/>
          <w:szCs w:val="24"/>
        </w:rPr>
        <w:t>decreased</w:t>
      </w:r>
      <w:r w:rsidR="00F039A6">
        <w:rPr>
          <w:rFonts w:ascii="Times New Roman" w:hAnsi="Times New Roman" w:cs="Times New Roman"/>
          <w:sz w:val="24"/>
          <w:szCs w:val="24"/>
        </w:rPr>
        <w:t xml:space="preserve"> operative time and </w:t>
      </w:r>
      <w:r w:rsidR="00FB0E13">
        <w:rPr>
          <w:rFonts w:ascii="Times New Roman" w:hAnsi="Times New Roman" w:cs="Times New Roman"/>
          <w:sz w:val="24"/>
          <w:szCs w:val="24"/>
        </w:rPr>
        <w:t>larger</w:t>
      </w:r>
      <w:r w:rsidR="00F039A6">
        <w:rPr>
          <w:rFonts w:ascii="Times New Roman" w:hAnsi="Times New Roman" w:cs="Times New Roman"/>
          <w:sz w:val="24"/>
          <w:szCs w:val="24"/>
        </w:rPr>
        <w:t xml:space="preserve"> stone burden</w:t>
      </w:r>
      <w:r w:rsidR="00FB0E13">
        <w:rPr>
          <w:rFonts w:ascii="Times New Roman" w:hAnsi="Times New Roman" w:cs="Times New Roman"/>
          <w:sz w:val="24"/>
          <w:szCs w:val="24"/>
        </w:rPr>
        <w:t>s</w:t>
      </w:r>
      <w:r w:rsidR="00F039A6">
        <w:rPr>
          <w:rFonts w:ascii="Times New Roman" w:hAnsi="Times New Roman" w:cs="Times New Roman"/>
          <w:sz w:val="24"/>
          <w:szCs w:val="24"/>
        </w:rPr>
        <w:t xml:space="preserve"> can be</w:t>
      </w:r>
      <w:r w:rsidR="00FB0E13">
        <w:rPr>
          <w:rFonts w:ascii="Times New Roman" w:hAnsi="Times New Roman" w:cs="Times New Roman"/>
          <w:sz w:val="24"/>
          <w:szCs w:val="24"/>
        </w:rPr>
        <w:t xml:space="preserve"> successfully</w:t>
      </w:r>
      <w:r w:rsidR="00F039A6">
        <w:rPr>
          <w:rFonts w:ascii="Times New Roman" w:hAnsi="Times New Roman" w:cs="Times New Roman"/>
          <w:sz w:val="24"/>
          <w:szCs w:val="24"/>
        </w:rPr>
        <w:t xml:space="preserve"> dealt with RIRS.</w:t>
      </w:r>
      <w:r w:rsidR="00FB0E13">
        <w:rPr>
          <w:rFonts w:ascii="Times New Roman" w:hAnsi="Times New Roman" w:cs="Times New Roman"/>
          <w:sz w:val="24"/>
          <w:szCs w:val="24"/>
        </w:rPr>
        <w:t xml:space="preserve"> </w:t>
      </w:r>
      <w:r w:rsidR="00FB0E13" w:rsidRPr="00FB0E13">
        <w:rPr>
          <w:rFonts w:ascii="Times New Roman" w:hAnsi="Times New Roman" w:cs="Times New Roman"/>
          <w:sz w:val="24"/>
          <w:szCs w:val="24"/>
          <w:vertAlign w:val="superscript"/>
        </w:rPr>
        <w:t>10</w:t>
      </w:r>
      <w:r w:rsidR="00FB0E13">
        <w:rPr>
          <w:rFonts w:ascii="Times New Roman" w:hAnsi="Times New Roman" w:cs="Times New Roman"/>
          <w:sz w:val="24"/>
          <w:szCs w:val="24"/>
        </w:rPr>
        <w:t xml:space="preserve"> Hence, RIRS can be the modality of choice in high</w:t>
      </w:r>
      <w:r w:rsidR="00B60CA0">
        <w:rPr>
          <w:rFonts w:ascii="Times New Roman" w:hAnsi="Times New Roman" w:cs="Times New Roman"/>
          <w:sz w:val="24"/>
          <w:szCs w:val="24"/>
        </w:rPr>
        <w:t>-</w:t>
      </w:r>
      <w:r w:rsidR="00FB0E13">
        <w:rPr>
          <w:rFonts w:ascii="Times New Roman" w:hAnsi="Times New Roman" w:cs="Times New Roman"/>
          <w:sz w:val="24"/>
          <w:szCs w:val="24"/>
        </w:rPr>
        <w:t>risk patients such as bleeding disorders.</w:t>
      </w:r>
      <w:bookmarkEnd w:id="2"/>
      <w:r w:rsidR="00FB0E13">
        <w:rPr>
          <w:rFonts w:ascii="Times New Roman" w:hAnsi="Times New Roman" w:cs="Times New Roman"/>
          <w:sz w:val="24"/>
          <w:szCs w:val="24"/>
        </w:rPr>
        <w:t xml:space="preserve"> </w:t>
      </w:r>
    </w:p>
    <w:p w14:paraId="0025AB34" w14:textId="157F75A8" w:rsidR="00F039A6" w:rsidRPr="00AA16AE" w:rsidRDefault="00A31330" w:rsidP="00A31330">
      <w:pPr>
        <w:spacing w:after="0" w:line="480" w:lineRule="auto"/>
        <w:jc w:val="both"/>
        <w:rPr>
          <w:rFonts w:ascii="Times New Roman" w:hAnsi="Times New Roman" w:cs="Times New Roman"/>
          <w:b/>
          <w:bCs/>
          <w:sz w:val="24"/>
          <w:szCs w:val="24"/>
          <w:lang w:eastAsia="zh-CN"/>
        </w:rPr>
      </w:pPr>
      <w:bookmarkStart w:id="3" w:name="_Hlk146722910"/>
      <w:r>
        <w:rPr>
          <w:rFonts w:ascii="Times New Roman" w:hAnsi="Times New Roman" w:cs="Times New Roman"/>
          <w:b/>
          <w:bCs/>
          <w:sz w:val="24"/>
          <w:szCs w:val="24"/>
        </w:rPr>
        <w:t>C</w:t>
      </w:r>
      <w:r>
        <w:rPr>
          <w:rFonts w:ascii="Times New Roman" w:hAnsi="Times New Roman" w:cs="Times New Roman" w:hint="eastAsia"/>
          <w:b/>
          <w:bCs/>
          <w:sz w:val="24"/>
          <w:szCs w:val="24"/>
          <w:lang w:eastAsia="zh-CN"/>
        </w:rPr>
        <w:t>onclusion</w:t>
      </w:r>
    </w:p>
    <w:p w14:paraId="6A3FF490" w14:textId="0A311490" w:rsidR="007A3DAF" w:rsidRDefault="00F039A6" w:rsidP="00A313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RIRS is safe, effective and minimally invasive modality for upper tract calculi management. It is the procedure of choice in patients with haematological disorders such as SCA. Adequate peri-operative management of these patients is required to prevent major complications. </w:t>
      </w:r>
      <w:bookmarkEnd w:id="3"/>
    </w:p>
    <w:p w14:paraId="17EE9CCD"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6435282A" w14:textId="71A0EA23" w:rsidR="00CA61AB" w:rsidRPr="00CC0529" w:rsidRDefault="00A31330"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rPr>
        <w:t>References</w:t>
      </w:r>
    </w:p>
    <w:p w14:paraId="46F23071" w14:textId="07ED86BE" w:rsidR="00CA61AB" w:rsidRDefault="00CA61AB" w:rsidP="00A31330">
      <w:pPr>
        <w:pStyle w:val="a3"/>
        <w:numPr>
          <w:ilvl w:val="0"/>
          <w:numId w:val="1"/>
        </w:numPr>
        <w:spacing w:after="0" w:line="480" w:lineRule="auto"/>
        <w:ind w:left="0" w:firstLine="0"/>
        <w:jc w:val="both"/>
        <w:rPr>
          <w:rFonts w:ascii="Times New Roman" w:hAnsi="Times New Roman" w:cs="Times New Roman"/>
          <w:sz w:val="24"/>
          <w:szCs w:val="24"/>
        </w:rPr>
      </w:pPr>
      <w:r w:rsidRPr="00CA61AB">
        <w:rPr>
          <w:rFonts w:ascii="Times New Roman" w:hAnsi="Times New Roman" w:cs="Times New Roman"/>
          <w:sz w:val="24"/>
          <w:szCs w:val="24"/>
        </w:rPr>
        <w:t xml:space="preserve">Hebbel RP. Beyond </w:t>
      </w:r>
      <w:proofErr w:type="spellStart"/>
      <w:r w:rsidRPr="00CA61AB">
        <w:rPr>
          <w:rFonts w:ascii="Times New Roman" w:hAnsi="Times New Roman" w:cs="Times New Roman"/>
          <w:sz w:val="24"/>
          <w:szCs w:val="24"/>
        </w:rPr>
        <w:t>hemoglobin</w:t>
      </w:r>
      <w:proofErr w:type="spellEnd"/>
      <w:r w:rsidRPr="00CA61AB">
        <w:rPr>
          <w:rFonts w:ascii="Times New Roman" w:hAnsi="Times New Roman" w:cs="Times New Roman"/>
          <w:sz w:val="24"/>
          <w:szCs w:val="24"/>
        </w:rPr>
        <w:t xml:space="preserve"> polymerization: the red blood cell membrane and sickle disease pathophysiology.</w:t>
      </w:r>
      <w:r>
        <w:rPr>
          <w:rFonts w:ascii="Times New Roman" w:hAnsi="Times New Roman" w:cs="Times New Roman"/>
          <w:sz w:val="24"/>
          <w:szCs w:val="24"/>
        </w:rPr>
        <w:t xml:space="preserve"> </w:t>
      </w:r>
      <w:r w:rsidRPr="00CA61AB">
        <w:rPr>
          <w:rFonts w:ascii="Times New Roman" w:hAnsi="Times New Roman" w:cs="Times New Roman"/>
          <w:sz w:val="24"/>
          <w:szCs w:val="24"/>
        </w:rPr>
        <w:t>Blood. 1991</w:t>
      </w:r>
      <w:proofErr w:type="gramStart"/>
      <w:r w:rsidRPr="00CA61AB">
        <w:rPr>
          <w:rFonts w:ascii="Times New Roman" w:hAnsi="Times New Roman" w:cs="Times New Roman"/>
          <w:sz w:val="24"/>
          <w:szCs w:val="24"/>
        </w:rPr>
        <w:t>;77:214</w:t>
      </w:r>
      <w:proofErr w:type="gramEnd"/>
      <w:r w:rsidRPr="00CA61AB">
        <w:rPr>
          <w:rFonts w:ascii="Times New Roman" w:hAnsi="Times New Roman" w:cs="Times New Roman"/>
          <w:sz w:val="24"/>
          <w:szCs w:val="24"/>
        </w:rPr>
        <w:t>–237.</w:t>
      </w:r>
    </w:p>
    <w:p w14:paraId="745B2ED1" w14:textId="49B13024" w:rsidR="00331E7B" w:rsidRPr="009C0AC5" w:rsidRDefault="00331E7B" w:rsidP="00A31330">
      <w:pPr>
        <w:pStyle w:val="a3"/>
        <w:numPr>
          <w:ilvl w:val="0"/>
          <w:numId w:val="1"/>
        </w:numPr>
        <w:spacing w:after="0" w:line="480" w:lineRule="auto"/>
        <w:ind w:left="0" w:firstLine="0"/>
        <w:jc w:val="both"/>
        <w:rPr>
          <w:rFonts w:ascii="Times New Roman" w:hAnsi="Times New Roman" w:cs="Times New Roman"/>
          <w:sz w:val="24"/>
          <w:szCs w:val="24"/>
        </w:rPr>
      </w:pPr>
      <w:proofErr w:type="spellStart"/>
      <w:r w:rsidRPr="009C0AC5">
        <w:rPr>
          <w:rFonts w:ascii="Times New Roman" w:hAnsi="Times New Roman" w:cs="Times New Roman"/>
          <w:sz w:val="24"/>
          <w:szCs w:val="24"/>
        </w:rPr>
        <w:t>Aeddula</w:t>
      </w:r>
      <w:proofErr w:type="spellEnd"/>
      <w:r w:rsidRPr="009C0AC5">
        <w:rPr>
          <w:rFonts w:ascii="Times New Roman" w:hAnsi="Times New Roman" w:cs="Times New Roman"/>
          <w:sz w:val="24"/>
          <w:szCs w:val="24"/>
        </w:rPr>
        <w:t xml:space="preserve"> NR, </w:t>
      </w:r>
      <w:proofErr w:type="spellStart"/>
      <w:r w:rsidRPr="009C0AC5">
        <w:rPr>
          <w:rFonts w:ascii="Times New Roman" w:hAnsi="Times New Roman" w:cs="Times New Roman"/>
          <w:sz w:val="24"/>
          <w:szCs w:val="24"/>
        </w:rPr>
        <w:t>Bardhan</w:t>
      </w:r>
      <w:proofErr w:type="spellEnd"/>
      <w:r w:rsidRPr="009C0AC5">
        <w:rPr>
          <w:rFonts w:ascii="Times New Roman" w:hAnsi="Times New Roman" w:cs="Times New Roman"/>
          <w:sz w:val="24"/>
          <w:szCs w:val="24"/>
        </w:rPr>
        <w:t xml:space="preserve"> M, </w:t>
      </w:r>
      <w:proofErr w:type="spellStart"/>
      <w:r w:rsidRPr="009C0AC5">
        <w:rPr>
          <w:rFonts w:ascii="Times New Roman" w:hAnsi="Times New Roman" w:cs="Times New Roman"/>
          <w:sz w:val="24"/>
          <w:szCs w:val="24"/>
        </w:rPr>
        <w:t>Baradhi</w:t>
      </w:r>
      <w:proofErr w:type="spellEnd"/>
      <w:r w:rsidRPr="009C0AC5">
        <w:rPr>
          <w:rFonts w:ascii="Times New Roman" w:hAnsi="Times New Roman" w:cs="Times New Roman"/>
          <w:sz w:val="24"/>
          <w:szCs w:val="24"/>
        </w:rPr>
        <w:t xml:space="preserve"> KM. Sickle Cell Nephropathy. [Updated 2022 Sep 12]. In: </w:t>
      </w:r>
      <w:proofErr w:type="spellStart"/>
      <w:r w:rsidRPr="009C0AC5">
        <w:rPr>
          <w:rFonts w:ascii="Times New Roman" w:hAnsi="Times New Roman" w:cs="Times New Roman"/>
          <w:sz w:val="24"/>
          <w:szCs w:val="24"/>
        </w:rPr>
        <w:t>StatPearls</w:t>
      </w:r>
      <w:proofErr w:type="spellEnd"/>
      <w:r w:rsidRPr="009C0AC5">
        <w:rPr>
          <w:rFonts w:ascii="Times New Roman" w:hAnsi="Times New Roman" w:cs="Times New Roman"/>
          <w:sz w:val="24"/>
          <w:szCs w:val="24"/>
        </w:rPr>
        <w:t xml:space="preserve"> [Internet]. Treasure Island (FL): </w:t>
      </w:r>
      <w:proofErr w:type="spellStart"/>
      <w:r w:rsidRPr="009C0AC5">
        <w:rPr>
          <w:rFonts w:ascii="Times New Roman" w:hAnsi="Times New Roman" w:cs="Times New Roman"/>
          <w:sz w:val="24"/>
          <w:szCs w:val="24"/>
        </w:rPr>
        <w:t>StatPearls</w:t>
      </w:r>
      <w:proofErr w:type="spellEnd"/>
      <w:r w:rsidRPr="009C0AC5">
        <w:rPr>
          <w:rFonts w:ascii="Times New Roman" w:hAnsi="Times New Roman" w:cs="Times New Roman"/>
          <w:sz w:val="24"/>
          <w:szCs w:val="24"/>
        </w:rPr>
        <w:t xml:space="preserve"> Publishing; 2023 Jan-. Available from: </w:t>
      </w:r>
      <w:r w:rsidRPr="003B3C86">
        <w:rPr>
          <w:rFonts w:ascii="Times New Roman" w:hAnsi="Times New Roman" w:cs="Times New Roman"/>
          <w:sz w:val="24"/>
          <w:szCs w:val="24"/>
        </w:rPr>
        <w:t>https://www.ncbi.nlm.nih.gov/books/NBK526017/</w:t>
      </w:r>
    </w:p>
    <w:p w14:paraId="079886F3" w14:textId="3C1D396F" w:rsidR="009F2186" w:rsidRPr="009F2186" w:rsidRDefault="009F2186" w:rsidP="00A31330">
      <w:pPr>
        <w:pStyle w:val="a3"/>
        <w:numPr>
          <w:ilvl w:val="0"/>
          <w:numId w:val="1"/>
        </w:numPr>
        <w:spacing w:after="0" w:line="480" w:lineRule="auto"/>
        <w:ind w:left="0" w:firstLine="0"/>
        <w:jc w:val="both"/>
        <w:rPr>
          <w:rFonts w:ascii="Times New Roman" w:hAnsi="Times New Roman" w:cs="Times New Roman"/>
          <w:sz w:val="24"/>
          <w:szCs w:val="24"/>
        </w:rPr>
      </w:pPr>
      <w:r w:rsidRPr="009F2186">
        <w:rPr>
          <w:rFonts w:ascii="Times New Roman" w:hAnsi="Times New Roman" w:cs="Times New Roman"/>
          <w:sz w:val="24"/>
          <w:szCs w:val="24"/>
        </w:rPr>
        <w:lastRenderedPageBreak/>
        <w:t>Kassim AA, DeBaun MR. Sickle cell disease, vasculopathy, and therapeutics. Annual Review of Medicine.</w:t>
      </w:r>
      <w:r>
        <w:rPr>
          <w:rFonts w:ascii="Times New Roman" w:hAnsi="Times New Roman" w:cs="Times New Roman"/>
          <w:sz w:val="24"/>
          <w:szCs w:val="24"/>
        </w:rPr>
        <w:t xml:space="preserve"> </w:t>
      </w:r>
      <w:r w:rsidRPr="009F2186">
        <w:rPr>
          <w:rFonts w:ascii="Times New Roman" w:hAnsi="Times New Roman" w:cs="Times New Roman"/>
          <w:sz w:val="24"/>
          <w:szCs w:val="24"/>
        </w:rPr>
        <w:t>2013;64:451–466</w:t>
      </w:r>
    </w:p>
    <w:p w14:paraId="6A6158DD" w14:textId="7BC7B05F" w:rsidR="004A2088" w:rsidRPr="004A2088" w:rsidRDefault="004A2088" w:rsidP="00A31330">
      <w:pPr>
        <w:pStyle w:val="a3"/>
        <w:numPr>
          <w:ilvl w:val="0"/>
          <w:numId w:val="1"/>
        </w:numPr>
        <w:spacing w:after="0" w:line="480" w:lineRule="auto"/>
        <w:ind w:left="0" w:firstLine="0"/>
        <w:jc w:val="both"/>
        <w:rPr>
          <w:rFonts w:ascii="Times New Roman" w:hAnsi="Times New Roman" w:cs="Times New Roman"/>
          <w:sz w:val="24"/>
          <w:szCs w:val="24"/>
        </w:rPr>
      </w:pPr>
      <w:proofErr w:type="spellStart"/>
      <w:r w:rsidRPr="004A2088">
        <w:rPr>
          <w:rFonts w:ascii="Times New Roman" w:hAnsi="Times New Roman" w:cs="Times New Roman"/>
          <w:sz w:val="24"/>
          <w:szCs w:val="24"/>
        </w:rPr>
        <w:t>Vichinsky</w:t>
      </w:r>
      <w:proofErr w:type="spellEnd"/>
      <w:r w:rsidRPr="004A2088">
        <w:rPr>
          <w:rFonts w:ascii="Times New Roman" w:hAnsi="Times New Roman" w:cs="Times New Roman"/>
          <w:sz w:val="24"/>
          <w:szCs w:val="24"/>
        </w:rPr>
        <w:t xml:space="preserve"> EP, </w:t>
      </w:r>
      <w:proofErr w:type="spellStart"/>
      <w:r w:rsidRPr="004A2088">
        <w:rPr>
          <w:rFonts w:ascii="Times New Roman" w:hAnsi="Times New Roman" w:cs="Times New Roman"/>
          <w:sz w:val="24"/>
          <w:szCs w:val="24"/>
        </w:rPr>
        <w:t>Neumayr</w:t>
      </w:r>
      <w:proofErr w:type="spellEnd"/>
      <w:r w:rsidRPr="004A2088">
        <w:rPr>
          <w:rFonts w:ascii="Times New Roman" w:hAnsi="Times New Roman" w:cs="Times New Roman"/>
          <w:sz w:val="24"/>
          <w:szCs w:val="24"/>
        </w:rPr>
        <w:t xml:space="preserve"> LD, Haberkern C, et al. The perioperative complication rate of </w:t>
      </w:r>
      <w:proofErr w:type="spellStart"/>
      <w:r w:rsidRPr="004A2088">
        <w:rPr>
          <w:rFonts w:ascii="Times New Roman" w:hAnsi="Times New Roman" w:cs="Times New Roman"/>
          <w:sz w:val="24"/>
          <w:szCs w:val="24"/>
        </w:rPr>
        <w:t>orthopedic</w:t>
      </w:r>
      <w:proofErr w:type="spellEnd"/>
      <w:r w:rsidRPr="004A2088">
        <w:rPr>
          <w:rFonts w:ascii="Times New Roman" w:hAnsi="Times New Roman" w:cs="Times New Roman"/>
          <w:sz w:val="24"/>
          <w:szCs w:val="24"/>
        </w:rPr>
        <w:t xml:space="preserve"> surgery in sickle</w:t>
      </w:r>
      <w:r>
        <w:rPr>
          <w:rFonts w:ascii="Times New Roman" w:hAnsi="Times New Roman" w:cs="Times New Roman"/>
          <w:sz w:val="24"/>
          <w:szCs w:val="24"/>
        </w:rPr>
        <w:t xml:space="preserve"> </w:t>
      </w:r>
      <w:r w:rsidRPr="004A2088">
        <w:rPr>
          <w:rFonts w:ascii="Times New Roman" w:hAnsi="Times New Roman" w:cs="Times New Roman"/>
          <w:sz w:val="24"/>
          <w:szCs w:val="24"/>
        </w:rPr>
        <w:t xml:space="preserve">cell disease: report of the National Sickle Cell Surgery Study Group. American Journal of </w:t>
      </w:r>
      <w:proofErr w:type="spellStart"/>
      <w:r w:rsidRPr="004A2088">
        <w:rPr>
          <w:rFonts w:ascii="Times New Roman" w:hAnsi="Times New Roman" w:cs="Times New Roman"/>
          <w:sz w:val="24"/>
          <w:szCs w:val="24"/>
        </w:rPr>
        <w:t>Hematology</w:t>
      </w:r>
      <w:proofErr w:type="spellEnd"/>
      <w:r w:rsidRPr="004A2088">
        <w:rPr>
          <w:rFonts w:ascii="Times New Roman" w:hAnsi="Times New Roman" w:cs="Times New Roman"/>
          <w:sz w:val="24"/>
          <w:szCs w:val="24"/>
        </w:rPr>
        <w:t>. 1999;62(3):129–138</w:t>
      </w:r>
      <w:r>
        <w:rPr>
          <w:rFonts w:ascii="Times New Roman" w:hAnsi="Times New Roman" w:cs="Times New Roman"/>
          <w:sz w:val="24"/>
          <w:szCs w:val="24"/>
        </w:rPr>
        <w:t>.</w:t>
      </w:r>
    </w:p>
    <w:p w14:paraId="2EDF6EC4" w14:textId="6AA40BB9" w:rsidR="00F25E89" w:rsidRPr="00F25E89" w:rsidRDefault="00F25E89" w:rsidP="00A31330">
      <w:pPr>
        <w:pStyle w:val="a3"/>
        <w:numPr>
          <w:ilvl w:val="0"/>
          <w:numId w:val="1"/>
        </w:numPr>
        <w:spacing w:after="0" w:line="480" w:lineRule="auto"/>
        <w:ind w:left="0" w:firstLine="0"/>
        <w:jc w:val="both"/>
        <w:rPr>
          <w:rFonts w:ascii="Times New Roman" w:hAnsi="Times New Roman" w:cs="Times New Roman"/>
          <w:sz w:val="24"/>
          <w:szCs w:val="24"/>
        </w:rPr>
      </w:pPr>
      <w:r w:rsidRPr="00F25E89">
        <w:rPr>
          <w:rFonts w:ascii="Times New Roman" w:hAnsi="Times New Roman" w:cs="Times New Roman"/>
          <w:sz w:val="24"/>
          <w:szCs w:val="24"/>
        </w:rPr>
        <w:t xml:space="preserve">Koshy M, Weiner SJ, Miller ST, et al. Surgery and </w:t>
      </w:r>
      <w:proofErr w:type="spellStart"/>
      <w:r w:rsidRPr="00F25E89">
        <w:rPr>
          <w:rFonts w:ascii="Times New Roman" w:hAnsi="Times New Roman" w:cs="Times New Roman"/>
          <w:sz w:val="24"/>
          <w:szCs w:val="24"/>
        </w:rPr>
        <w:t>anesthesia</w:t>
      </w:r>
      <w:proofErr w:type="spellEnd"/>
      <w:r w:rsidRPr="00F25E89">
        <w:rPr>
          <w:rFonts w:ascii="Times New Roman" w:hAnsi="Times New Roman" w:cs="Times New Roman"/>
          <w:sz w:val="24"/>
          <w:szCs w:val="24"/>
        </w:rPr>
        <w:t xml:space="preserve"> in sickle cell disease. Cooperative Study of Sickle Cell</w:t>
      </w:r>
      <w:r>
        <w:rPr>
          <w:rFonts w:ascii="Times New Roman" w:hAnsi="Times New Roman" w:cs="Times New Roman"/>
          <w:sz w:val="24"/>
          <w:szCs w:val="24"/>
        </w:rPr>
        <w:t xml:space="preserve"> </w:t>
      </w:r>
      <w:r w:rsidRPr="00F25E89">
        <w:rPr>
          <w:rFonts w:ascii="Times New Roman" w:hAnsi="Times New Roman" w:cs="Times New Roman"/>
          <w:sz w:val="24"/>
          <w:szCs w:val="24"/>
        </w:rPr>
        <w:t>Diseases. Blood. 1995;86(10):3676–3684.</w:t>
      </w:r>
    </w:p>
    <w:p w14:paraId="63A643C6" w14:textId="099B88E5" w:rsidR="00D36624" w:rsidRDefault="00D36624" w:rsidP="00A31330">
      <w:pPr>
        <w:pStyle w:val="a3"/>
        <w:numPr>
          <w:ilvl w:val="0"/>
          <w:numId w:val="1"/>
        </w:numPr>
        <w:spacing w:after="0" w:line="480" w:lineRule="auto"/>
        <w:ind w:left="0" w:firstLine="0"/>
        <w:jc w:val="both"/>
        <w:rPr>
          <w:rFonts w:ascii="Times New Roman" w:hAnsi="Times New Roman" w:cs="Times New Roman"/>
          <w:sz w:val="24"/>
          <w:szCs w:val="24"/>
        </w:rPr>
      </w:pPr>
      <w:proofErr w:type="spellStart"/>
      <w:r w:rsidRPr="00D36624">
        <w:rPr>
          <w:rFonts w:ascii="Times New Roman" w:hAnsi="Times New Roman" w:cs="Times New Roman"/>
          <w:sz w:val="24"/>
          <w:szCs w:val="24"/>
        </w:rPr>
        <w:t>Adjepong</w:t>
      </w:r>
      <w:proofErr w:type="spellEnd"/>
      <w:r w:rsidRPr="00D36624">
        <w:rPr>
          <w:rFonts w:ascii="Times New Roman" w:hAnsi="Times New Roman" w:cs="Times New Roman"/>
          <w:sz w:val="24"/>
          <w:szCs w:val="24"/>
        </w:rPr>
        <w:t xml:space="preserve"> KO, </w:t>
      </w:r>
      <w:proofErr w:type="spellStart"/>
      <w:r w:rsidRPr="00D36624">
        <w:rPr>
          <w:rFonts w:ascii="Times New Roman" w:hAnsi="Times New Roman" w:cs="Times New Roman"/>
          <w:sz w:val="24"/>
          <w:szCs w:val="24"/>
        </w:rPr>
        <w:t>Otegbeye</w:t>
      </w:r>
      <w:proofErr w:type="spellEnd"/>
      <w:r w:rsidRPr="00D36624">
        <w:rPr>
          <w:rFonts w:ascii="Times New Roman" w:hAnsi="Times New Roman" w:cs="Times New Roman"/>
          <w:sz w:val="24"/>
          <w:szCs w:val="24"/>
        </w:rPr>
        <w:t xml:space="preserve"> F, </w:t>
      </w:r>
      <w:proofErr w:type="spellStart"/>
      <w:r w:rsidRPr="00D36624">
        <w:rPr>
          <w:rFonts w:ascii="Times New Roman" w:hAnsi="Times New Roman" w:cs="Times New Roman"/>
          <w:sz w:val="24"/>
          <w:szCs w:val="24"/>
        </w:rPr>
        <w:t>Adjepong</w:t>
      </w:r>
      <w:proofErr w:type="spellEnd"/>
      <w:r w:rsidRPr="00D36624">
        <w:rPr>
          <w:rFonts w:ascii="Times New Roman" w:hAnsi="Times New Roman" w:cs="Times New Roman"/>
          <w:sz w:val="24"/>
          <w:szCs w:val="24"/>
        </w:rPr>
        <w:t xml:space="preserve"> YA. Perioperative Management of Sickle Cell Disease. </w:t>
      </w:r>
      <w:proofErr w:type="spellStart"/>
      <w:r w:rsidRPr="00D36624">
        <w:rPr>
          <w:rFonts w:ascii="Times New Roman" w:hAnsi="Times New Roman" w:cs="Times New Roman"/>
          <w:sz w:val="24"/>
          <w:szCs w:val="24"/>
        </w:rPr>
        <w:t>Mediterr</w:t>
      </w:r>
      <w:proofErr w:type="spellEnd"/>
      <w:r w:rsidRPr="00D36624">
        <w:rPr>
          <w:rFonts w:ascii="Times New Roman" w:hAnsi="Times New Roman" w:cs="Times New Roman"/>
          <w:sz w:val="24"/>
          <w:szCs w:val="24"/>
        </w:rPr>
        <w:t xml:space="preserve"> J </w:t>
      </w:r>
      <w:proofErr w:type="spellStart"/>
      <w:r w:rsidRPr="00D36624">
        <w:rPr>
          <w:rFonts w:ascii="Times New Roman" w:hAnsi="Times New Roman" w:cs="Times New Roman"/>
          <w:sz w:val="24"/>
          <w:szCs w:val="24"/>
        </w:rPr>
        <w:t>Hematol</w:t>
      </w:r>
      <w:proofErr w:type="spellEnd"/>
      <w:r w:rsidRPr="00D36624">
        <w:rPr>
          <w:rFonts w:ascii="Times New Roman" w:hAnsi="Times New Roman" w:cs="Times New Roman"/>
          <w:sz w:val="24"/>
          <w:szCs w:val="24"/>
        </w:rPr>
        <w:t xml:space="preserve"> Infect Dis. 2018 May 1</w:t>
      </w:r>
      <w:proofErr w:type="gramStart"/>
      <w:r w:rsidRPr="00D36624">
        <w:rPr>
          <w:rFonts w:ascii="Times New Roman" w:hAnsi="Times New Roman" w:cs="Times New Roman"/>
          <w:sz w:val="24"/>
          <w:szCs w:val="24"/>
        </w:rPr>
        <w:t>;10</w:t>
      </w:r>
      <w:proofErr w:type="gramEnd"/>
      <w:r w:rsidRPr="00D36624">
        <w:rPr>
          <w:rFonts w:ascii="Times New Roman" w:hAnsi="Times New Roman" w:cs="Times New Roman"/>
          <w:sz w:val="24"/>
          <w:szCs w:val="24"/>
        </w:rPr>
        <w:t xml:space="preserve">(1):e2018032. </w:t>
      </w:r>
    </w:p>
    <w:p w14:paraId="3EF941F7" w14:textId="69575756" w:rsidR="00BA3B4F" w:rsidRDefault="00BA3B4F" w:rsidP="00A31330">
      <w:pPr>
        <w:pStyle w:val="a3"/>
        <w:numPr>
          <w:ilvl w:val="0"/>
          <w:numId w:val="1"/>
        </w:numPr>
        <w:spacing w:after="0" w:line="480" w:lineRule="auto"/>
        <w:ind w:left="0" w:firstLine="0"/>
        <w:jc w:val="both"/>
        <w:rPr>
          <w:rFonts w:ascii="Times New Roman" w:hAnsi="Times New Roman" w:cs="Times New Roman"/>
          <w:sz w:val="24"/>
          <w:szCs w:val="24"/>
        </w:rPr>
      </w:pPr>
      <w:r w:rsidRPr="00BA3B4F">
        <w:rPr>
          <w:rFonts w:ascii="Times New Roman" w:hAnsi="Times New Roman" w:cs="Times New Roman"/>
          <w:sz w:val="24"/>
          <w:szCs w:val="24"/>
        </w:rPr>
        <w:t xml:space="preserve">EAU Guidelines. </w:t>
      </w:r>
      <w:proofErr w:type="spellStart"/>
      <w:r w:rsidRPr="00BA3B4F">
        <w:rPr>
          <w:rFonts w:ascii="Times New Roman" w:hAnsi="Times New Roman" w:cs="Times New Roman"/>
          <w:sz w:val="24"/>
          <w:szCs w:val="24"/>
        </w:rPr>
        <w:t>Edn</w:t>
      </w:r>
      <w:proofErr w:type="spellEnd"/>
      <w:r w:rsidRPr="00BA3B4F">
        <w:rPr>
          <w:rFonts w:ascii="Times New Roman" w:hAnsi="Times New Roman" w:cs="Times New Roman"/>
          <w:sz w:val="24"/>
          <w:szCs w:val="24"/>
        </w:rPr>
        <w:t>. Presented at the EAU Annual Congress Milan 2023. ISBN 978-94-92671-19-6.</w:t>
      </w:r>
    </w:p>
    <w:p w14:paraId="225F7EBA" w14:textId="37D3448A" w:rsidR="00653A50" w:rsidRDefault="00653A50" w:rsidP="00A31330">
      <w:pPr>
        <w:pStyle w:val="a3"/>
        <w:numPr>
          <w:ilvl w:val="0"/>
          <w:numId w:val="1"/>
        </w:numPr>
        <w:spacing w:after="0" w:line="480" w:lineRule="auto"/>
        <w:ind w:left="0" w:firstLine="0"/>
        <w:jc w:val="both"/>
        <w:rPr>
          <w:rFonts w:ascii="Times New Roman" w:hAnsi="Times New Roman" w:cs="Times New Roman"/>
          <w:sz w:val="24"/>
          <w:szCs w:val="24"/>
        </w:rPr>
      </w:pPr>
      <w:proofErr w:type="spellStart"/>
      <w:r w:rsidRPr="00653A50">
        <w:rPr>
          <w:rFonts w:ascii="Times New Roman" w:hAnsi="Times New Roman" w:cs="Times New Roman"/>
          <w:sz w:val="24"/>
          <w:szCs w:val="24"/>
        </w:rPr>
        <w:t>Binbin</w:t>
      </w:r>
      <w:proofErr w:type="spellEnd"/>
      <w:r w:rsidRPr="00653A50">
        <w:rPr>
          <w:rFonts w:ascii="Times New Roman" w:hAnsi="Times New Roman" w:cs="Times New Roman"/>
          <w:sz w:val="24"/>
          <w:szCs w:val="24"/>
        </w:rPr>
        <w:t xml:space="preserve"> Jiao, </w:t>
      </w:r>
      <w:proofErr w:type="spellStart"/>
      <w:r w:rsidRPr="00653A50">
        <w:rPr>
          <w:rFonts w:ascii="Times New Roman" w:hAnsi="Times New Roman" w:cs="Times New Roman"/>
          <w:sz w:val="24"/>
          <w:szCs w:val="24"/>
        </w:rPr>
        <w:t>Zhenkai</w:t>
      </w:r>
      <w:proofErr w:type="spellEnd"/>
      <w:r w:rsidRPr="00653A50">
        <w:rPr>
          <w:rFonts w:ascii="Times New Roman" w:hAnsi="Times New Roman" w:cs="Times New Roman"/>
          <w:sz w:val="24"/>
          <w:szCs w:val="24"/>
        </w:rPr>
        <w:t xml:space="preserve"> Luo, Xin Xu, Meng Zhang, Guan Zhang. Minimally invasive percutaneous nephrolithotomy versus retrograde intrarenal surgery in surgical management of upper urinary stones - A systematic review with meta-analysis, International Journal of Surgery, Volume 71, 2019, Pages 1-11, ISSN 1743-9191,</w:t>
      </w:r>
    </w:p>
    <w:p w14:paraId="37F546F7" w14:textId="134EEA19" w:rsidR="00A66C6B" w:rsidRDefault="00F039A6" w:rsidP="00A31330">
      <w:pPr>
        <w:pStyle w:val="a3"/>
        <w:numPr>
          <w:ilvl w:val="0"/>
          <w:numId w:val="1"/>
        </w:numPr>
        <w:spacing w:after="0" w:line="480" w:lineRule="auto"/>
        <w:ind w:left="0" w:firstLine="0"/>
        <w:jc w:val="both"/>
        <w:rPr>
          <w:rFonts w:ascii="Times New Roman" w:hAnsi="Times New Roman" w:cs="Times New Roman"/>
          <w:sz w:val="24"/>
          <w:szCs w:val="24"/>
        </w:rPr>
      </w:pPr>
      <w:proofErr w:type="spellStart"/>
      <w:r w:rsidRPr="00F039A6">
        <w:rPr>
          <w:rFonts w:ascii="Times New Roman" w:hAnsi="Times New Roman" w:cs="Times New Roman"/>
          <w:sz w:val="24"/>
          <w:szCs w:val="24"/>
        </w:rPr>
        <w:t>Kallidonis</w:t>
      </w:r>
      <w:proofErr w:type="spellEnd"/>
      <w:r w:rsidRPr="00F039A6">
        <w:rPr>
          <w:rFonts w:ascii="Times New Roman" w:hAnsi="Times New Roman" w:cs="Times New Roman"/>
          <w:sz w:val="24"/>
          <w:szCs w:val="24"/>
        </w:rPr>
        <w:t xml:space="preserve"> P, Panagopoulos V, Kyriazis I, et al</w:t>
      </w:r>
      <w:proofErr w:type="gramStart"/>
      <w:r w:rsidRPr="00F039A6">
        <w:rPr>
          <w:rFonts w:ascii="Times New Roman" w:hAnsi="Times New Roman" w:cs="Times New Roman"/>
          <w:sz w:val="24"/>
          <w:szCs w:val="24"/>
        </w:rPr>
        <w:t>..</w:t>
      </w:r>
      <w:proofErr w:type="gramEnd"/>
      <w:r w:rsidRPr="00F039A6">
        <w:rPr>
          <w:rFonts w:ascii="Times New Roman" w:hAnsi="Times New Roman" w:cs="Times New Roman"/>
          <w:sz w:val="24"/>
          <w:szCs w:val="24"/>
        </w:rPr>
        <w:t xml:space="preserve"> Complications of percutaneous nephrolithotomy: Classification, management, and prevention. </w:t>
      </w:r>
      <w:proofErr w:type="spellStart"/>
      <w:r w:rsidRPr="00F039A6">
        <w:rPr>
          <w:rFonts w:ascii="Times New Roman" w:hAnsi="Times New Roman" w:cs="Times New Roman"/>
          <w:sz w:val="24"/>
          <w:szCs w:val="24"/>
        </w:rPr>
        <w:t>Curr</w:t>
      </w:r>
      <w:proofErr w:type="spellEnd"/>
      <w:r w:rsidRPr="00F039A6">
        <w:rPr>
          <w:rFonts w:ascii="Times New Roman" w:hAnsi="Times New Roman" w:cs="Times New Roman"/>
          <w:sz w:val="24"/>
          <w:szCs w:val="24"/>
        </w:rPr>
        <w:t xml:space="preserve"> </w:t>
      </w:r>
      <w:proofErr w:type="spellStart"/>
      <w:r w:rsidRPr="00F039A6">
        <w:rPr>
          <w:rFonts w:ascii="Times New Roman" w:hAnsi="Times New Roman" w:cs="Times New Roman"/>
          <w:sz w:val="24"/>
          <w:szCs w:val="24"/>
        </w:rPr>
        <w:t>Opin</w:t>
      </w:r>
      <w:proofErr w:type="spellEnd"/>
      <w:r w:rsidRPr="00F039A6">
        <w:rPr>
          <w:rFonts w:ascii="Times New Roman" w:hAnsi="Times New Roman" w:cs="Times New Roman"/>
          <w:sz w:val="24"/>
          <w:szCs w:val="24"/>
        </w:rPr>
        <w:t xml:space="preserve"> </w:t>
      </w:r>
      <w:proofErr w:type="spellStart"/>
      <w:r w:rsidRPr="00F039A6">
        <w:rPr>
          <w:rFonts w:ascii="Times New Roman" w:hAnsi="Times New Roman" w:cs="Times New Roman"/>
          <w:sz w:val="24"/>
          <w:szCs w:val="24"/>
        </w:rPr>
        <w:t>Urol</w:t>
      </w:r>
      <w:proofErr w:type="spellEnd"/>
      <w:r w:rsidRPr="00F039A6">
        <w:rPr>
          <w:rFonts w:ascii="Times New Roman" w:hAnsi="Times New Roman" w:cs="Times New Roman"/>
          <w:sz w:val="24"/>
          <w:szCs w:val="24"/>
        </w:rPr>
        <w:t xml:space="preserve"> 2016</w:t>
      </w:r>
      <w:proofErr w:type="gramStart"/>
      <w:r w:rsidRPr="00F039A6">
        <w:rPr>
          <w:rFonts w:ascii="Times New Roman" w:hAnsi="Times New Roman" w:cs="Times New Roman"/>
          <w:sz w:val="24"/>
          <w:szCs w:val="24"/>
        </w:rPr>
        <w:t>;26:88</w:t>
      </w:r>
      <w:proofErr w:type="gramEnd"/>
      <w:r w:rsidRPr="00F039A6">
        <w:rPr>
          <w:rFonts w:ascii="Times New Roman" w:hAnsi="Times New Roman" w:cs="Times New Roman"/>
          <w:sz w:val="24"/>
          <w:szCs w:val="24"/>
        </w:rPr>
        <w:t>–94</w:t>
      </w:r>
      <w:r>
        <w:rPr>
          <w:rFonts w:ascii="Times New Roman" w:hAnsi="Times New Roman" w:cs="Times New Roman"/>
          <w:sz w:val="24"/>
          <w:szCs w:val="24"/>
        </w:rPr>
        <w:t>.</w:t>
      </w:r>
    </w:p>
    <w:p w14:paraId="64C7AC36" w14:textId="3FBF044E" w:rsidR="00F039A6" w:rsidRPr="00A66C6B" w:rsidRDefault="00F039A6" w:rsidP="00A31330">
      <w:pPr>
        <w:pStyle w:val="a3"/>
        <w:numPr>
          <w:ilvl w:val="0"/>
          <w:numId w:val="1"/>
        </w:numPr>
        <w:spacing w:after="0" w:line="480" w:lineRule="auto"/>
        <w:ind w:left="0" w:firstLine="0"/>
        <w:jc w:val="both"/>
        <w:rPr>
          <w:rFonts w:ascii="Times New Roman" w:hAnsi="Times New Roman" w:cs="Times New Roman"/>
          <w:sz w:val="24"/>
          <w:szCs w:val="24"/>
        </w:rPr>
      </w:pPr>
      <w:proofErr w:type="spellStart"/>
      <w:r w:rsidRPr="003B3C86">
        <w:rPr>
          <w:rFonts w:ascii="Times New Roman" w:hAnsi="Times New Roman" w:cs="Times New Roman"/>
          <w:sz w:val="24"/>
          <w:szCs w:val="24"/>
        </w:rPr>
        <w:t>Traxer</w:t>
      </w:r>
      <w:proofErr w:type="spellEnd"/>
      <w:r w:rsidRPr="003B3C86">
        <w:rPr>
          <w:rFonts w:ascii="Times New Roman" w:hAnsi="Times New Roman" w:cs="Times New Roman"/>
          <w:sz w:val="24"/>
          <w:szCs w:val="24"/>
        </w:rPr>
        <w:t xml:space="preserve">, O.; Corrales, M. Managing Urolithiasis with Thulium Fiber Laser: Updated Real-Life Results—A Systematic Review. J. Clin. Med. 2021, 10, 3390. </w:t>
      </w:r>
    </w:p>
    <w:sectPr w:rsidR="00F039A6" w:rsidRPr="00A66C6B" w:rsidSect="009E1A4E">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E6F8D" w14:textId="77777777" w:rsidR="00367F88" w:rsidRDefault="00367F88" w:rsidP="009F5305">
      <w:pPr>
        <w:spacing w:after="0" w:line="240" w:lineRule="auto"/>
      </w:pPr>
      <w:r>
        <w:separator/>
      </w:r>
    </w:p>
  </w:endnote>
  <w:endnote w:type="continuationSeparator" w:id="0">
    <w:p w14:paraId="0C7F1B58" w14:textId="77777777" w:rsidR="00367F88" w:rsidRDefault="00367F88" w:rsidP="009F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hruti">
    <w:altName w:val="Cambria Math"/>
    <w:panose1 w:val="02000500000000000000"/>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42211"/>
      <w:docPartObj>
        <w:docPartGallery w:val="Page Numbers (Bottom of Page)"/>
        <w:docPartUnique/>
      </w:docPartObj>
    </w:sdtPr>
    <w:sdtEndPr>
      <w:rPr>
        <w:noProof/>
      </w:rPr>
    </w:sdtEndPr>
    <w:sdtContent>
      <w:p w14:paraId="28E8B5F7" w14:textId="00A29CA8" w:rsidR="009F5305" w:rsidRDefault="009F5305">
        <w:pPr>
          <w:pStyle w:val="a6"/>
          <w:jc w:val="right"/>
        </w:pPr>
        <w:r>
          <w:fldChar w:fldCharType="begin"/>
        </w:r>
        <w:r>
          <w:instrText xml:space="preserve"> PAGE   \* MERGEFORMAT </w:instrText>
        </w:r>
        <w:r>
          <w:fldChar w:fldCharType="separate"/>
        </w:r>
        <w:r w:rsidR="007F1367">
          <w:rPr>
            <w:noProof/>
          </w:rPr>
          <w:t>1</w:t>
        </w:r>
        <w:r>
          <w:rPr>
            <w:noProof/>
          </w:rPr>
          <w:fldChar w:fldCharType="end"/>
        </w:r>
      </w:p>
    </w:sdtContent>
  </w:sdt>
  <w:p w14:paraId="0373DEF3" w14:textId="77777777" w:rsidR="009F5305" w:rsidRDefault="009F53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F52C" w14:textId="77777777" w:rsidR="00367F88" w:rsidRDefault="00367F88" w:rsidP="009F5305">
      <w:pPr>
        <w:spacing w:after="0" w:line="240" w:lineRule="auto"/>
      </w:pPr>
      <w:r>
        <w:separator/>
      </w:r>
    </w:p>
  </w:footnote>
  <w:footnote w:type="continuationSeparator" w:id="0">
    <w:p w14:paraId="19619E52" w14:textId="77777777" w:rsidR="00367F88" w:rsidRDefault="00367F88" w:rsidP="009F5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3FF"/>
    <w:multiLevelType w:val="hybridMultilevel"/>
    <w:tmpl w:val="C64E4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AB"/>
    <w:rsid w:val="00042FB3"/>
    <w:rsid w:val="00284C43"/>
    <w:rsid w:val="002E5092"/>
    <w:rsid w:val="00331E7B"/>
    <w:rsid w:val="00367F88"/>
    <w:rsid w:val="003773E0"/>
    <w:rsid w:val="00397D56"/>
    <w:rsid w:val="003B3C86"/>
    <w:rsid w:val="0041407F"/>
    <w:rsid w:val="004A2088"/>
    <w:rsid w:val="004E13DC"/>
    <w:rsid w:val="00537D4B"/>
    <w:rsid w:val="00622087"/>
    <w:rsid w:val="00653A50"/>
    <w:rsid w:val="00673EAD"/>
    <w:rsid w:val="007A3DAF"/>
    <w:rsid w:val="007B01A6"/>
    <w:rsid w:val="007F1367"/>
    <w:rsid w:val="0083138F"/>
    <w:rsid w:val="0084552C"/>
    <w:rsid w:val="008B0444"/>
    <w:rsid w:val="009C0AC5"/>
    <w:rsid w:val="009E1A4E"/>
    <w:rsid w:val="009F2186"/>
    <w:rsid w:val="009F5305"/>
    <w:rsid w:val="00A31330"/>
    <w:rsid w:val="00A66C6B"/>
    <w:rsid w:val="00A74CCC"/>
    <w:rsid w:val="00AA16AE"/>
    <w:rsid w:val="00AE2B93"/>
    <w:rsid w:val="00B60CA0"/>
    <w:rsid w:val="00B77F4D"/>
    <w:rsid w:val="00BA3B4F"/>
    <w:rsid w:val="00C83D59"/>
    <w:rsid w:val="00CA61AB"/>
    <w:rsid w:val="00CC0529"/>
    <w:rsid w:val="00D36624"/>
    <w:rsid w:val="00DA28C9"/>
    <w:rsid w:val="00DF351C"/>
    <w:rsid w:val="00EA29B2"/>
    <w:rsid w:val="00EB513E"/>
    <w:rsid w:val="00F039A6"/>
    <w:rsid w:val="00F05F43"/>
    <w:rsid w:val="00F168B2"/>
    <w:rsid w:val="00F25E89"/>
    <w:rsid w:val="00F92D56"/>
    <w:rsid w:val="00FB0E13"/>
  </w:rsids>
  <m:mathPr>
    <m:mathFont m:val="Cambria Math"/>
    <m:brkBin m:val="before"/>
    <m:brkBinSub m:val="--"/>
    <m:smallFrac m:val="0"/>
    <m:dispDef/>
    <m:lMargin m:val="0"/>
    <m:rMargin m:val="0"/>
    <m:defJc m:val="centerGroup"/>
    <m:wrapIndent m:val="1440"/>
    <m:intLim m:val="subSup"/>
    <m:naryLim m:val="undOvr"/>
  </m:mathPr>
  <w:themeFontLang w:val="en-IN"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2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1AB"/>
    <w:pPr>
      <w:ind w:left="720"/>
      <w:contextualSpacing/>
    </w:pPr>
  </w:style>
  <w:style w:type="character" w:styleId="a4">
    <w:name w:val="Hyperlink"/>
    <w:basedOn w:val="a0"/>
    <w:uiPriority w:val="99"/>
    <w:unhideWhenUsed/>
    <w:rsid w:val="00331E7B"/>
    <w:rPr>
      <w:color w:val="0563C1" w:themeColor="hyperlink"/>
      <w:u w:val="single"/>
    </w:rPr>
  </w:style>
  <w:style w:type="character" w:customStyle="1" w:styleId="UnresolvedMention">
    <w:name w:val="Unresolved Mention"/>
    <w:basedOn w:val="a0"/>
    <w:uiPriority w:val="99"/>
    <w:semiHidden/>
    <w:unhideWhenUsed/>
    <w:rsid w:val="00331E7B"/>
    <w:rPr>
      <w:color w:val="605E5C"/>
      <w:shd w:val="clear" w:color="auto" w:fill="E1DFDD"/>
    </w:rPr>
  </w:style>
  <w:style w:type="paragraph" w:styleId="a5">
    <w:name w:val="header"/>
    <w:basedOn w:val="a"/>
    <w:link w:val="Char"/>
    <w:uiPriority w:val="99"/>
    <w:unhideWhenUsed/>
    <w:rsid w:val="009F5305"/>
    <w:pPr>
      <w:tabs>
        <w:tab w:val="center" w:pos="4513"/>
        <w:tab w:val="right" w:pos="9026"/>
      </w:tabs>
      <w:spacing w:after="0" w:line="240" w:lineRule="auto"/>
    </w:pPr>
  </w:style>
  <w:style w:type="character" w:customStyle="1" w:styleId="Char">
    <w:name w:val="页眉 Char"/>
    <w:basedOn w:val="a0"/>
    <w:link w:val="a5"/>
    <w:uiPriority w:val="99"/>
    <w:rsid w:val="009F5305"/>
  </w:style>
  <w:style w:type="paragraph" w:styleId="a6">
    <w:name w:val="footer"/>
    <w:basedOn w:val="a"/>
    <w:link w:val="Char0"/>
    <w:uiPriority w:val="99"/>
    <w:unhideWhenUsed/>
    <w:rsid w:val="009F5305"/>
    <w:pPr>
      <w:tabs>
        <w:tab w:val="center" w:pos="4513"/>
        <w:tab w:val="right" w:pos="9026"/>
      </w:tabs>
      <w:spacing w:after="0" w:line="240" w:lineRule="auto"/>
    </w:pPr>
  </w:style>
  <w:style w:type="character" w:customStyle="1" w:styleId="Char0">
    <w:name w:val="页脚 Char"/>
    <w:basedOn w:val="a0"/>
    <w:link w:val="a6"/>
    <w:uiPriority w:val="99"/>
    <w:rsid w:val="009F5305"/>
  </w:style>
  <w:style w:type="character" w:styleId="a7">
    <w:name w:val="line number"/>
    <w:basedOn w:val="a0"/>
    <w:uiPriority w:val="99"/>
    <w:semiHidden/>
    <w:unhideWhenUsed/>
    <w:rsid w:val="009E1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1AB"/>
    <w:pPr>
      <w:ind w:left="720"/>
      <w:contextualSpacing/>
    </w:pPr>
  </w:style>
  <w:style w:type="character" w:styleId="a4">
    <w:name w:val="Hyperlink"/>
    <w:basedOn w:val="a0"/>
    <w:uiPriority w:val="99"/>
    <w:unhideWhenUsed/>
    <w:rsid w:val="00331E7B"/>
    <w:rPr>
      <w:color w:val="0563C1" w:themeColor="hyperlink"/>
      <w:u w:val="single"/>
    </w:rPr>
  </w:style>
  <w:style w:type="character" w:customStyle="1" w:styleId="UnresolvedMention">
    <w:name w:val="Unresolved Mention"/>
    <w:basedOn w:val="a0"/>
    <w:uiPriority w:val="99"/>
    <w:semiHidden/>
    <w:unhideWhenUsed/>
    <w:rsid w:val="00331E7B"/>
    <w:rPr>
      <w:color w:val="605E5C"/>
      <w:shd w:val="clear" w:color="auto" w:fill="E1DFDD"/>
    </w:rPr>
  </w:style>
  <w:style w:type="paragraph" w:styleId="a5">
    <w:name w:val="header"/>
    <w:basedOn w:val="a"/>
    <w:link w:val="Char"/>
    <w:uiPriority w:val="99"/>
    <w:unhideWhenUsed/>
    <w:rsid w:val="009F5305"/>
    <w:pPr>
      <w:tabs>
        <w:tab w:val="center" w:pos="4513"/>
        <w:tab w:val="right" w:pos="9026"/>
      </w:tabs>
      <w:spacing w:after="0" w:line="240" w:lineRule="auto"/>
    </w:pPr>
  </w:style>
  <w:style w:type="character" w:customStyle="1" w:styleId="Char">
    <w:name w:val="页眉 Char"/>
    <w:basedOn w:val="a0"/>
    <w:link w:val="a5"/>
    <w:uiPriority w:val="99"/>
    <w:rsid w:val="009F5305"/>
  </w:style>
  <w:style w:type="paragraph" w:styleId="a6">
    <w:name w:val="footer"/>
    <w:basedOn w:val="a"/>
    <w:link w:val="Char0"/>
    <w:uiPriority w:val="99"/>
    <w:unhideWhenUsed/>
    <w:rsid w:val="009F5305"/>
    <w:pPr>
      <w:tabs>
        <w:tab w:val="center" w:pos="4513"/>
        <w:tab w:val="right" w:pos="9026"/>
      </w:tabs>
      <w:spacing w:after="0" w:line="240" w:lineRule="auto"/>
    </w:pPr>
  </w:style>
  <w:style w:type="character" w:customStyle="1" w:styleId="Char0">
    <w:name w:val="页脚 Char"/>
    <w:basedOn w:val="a0"/>
    <w:link w:val="a6"/>
    <w:uiPriority w:val="99"/>
    <w:rsid w:val="009F5305"/>
  </w:style>
  <w:style w:type="character" w:styleId="a7">
    <w:name w:val="line number"/>
    <w:basedOn w:val="a0"/>
    <w:uiPriority w:val="99"/>
    <w:semiHidden/>
    <w:unhideWhenUsed/>
    <w:rsid w:val="009E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vijainy2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4D2D-BF47-4428-8F11-B4EEA97B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Jain</dc:creator>
  <cp:keywords/>
  <dc:description/>
  <cp:lastModifiedBy>Jazlyn</cp:lastModifiedBy>
  <cp:revision>26</cp:revision>
  <dcterms:created xsi:type="dcterms:W3CDTF">2023-09-25T09:50:00Z</dcterms:created>
  <dcterms:modified xsi:type="dcterms:W3CDTF">2024-03-14T03:07:00Z</dcterms:modified>
</cp:coreProperties>
</file>